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450" w:lineRule="atLeast"/>
        <w:jc w:val="center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各单位：</w:t>
      </w:r>
    </w:p>
    <w:p>
      <w:pPr>
        <w:pStyle w:val="5"/>
        <w:widowControl/>
        <w:spacing w:beforeAutospacing="0" w:afterAutospacing="0" w:line="450" w:lineRule="atLeast"/>
        <w:jc w:val="lef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 xml:space="preserve">    本单位就广州市少年宫美术培训部关于采购审美素养系列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展览设计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制作服务的网上询价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项目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进行网上公开询价，请合格的供应商予以报价。</w:t>
      </w:r>
    </w:p>
    <w:p>
      <w:pPr>
        <w:pStyle w:val="5"/>
        <w:widowControl/>
        <w:spacing w:beforeAutospacing="0" w:afterAutospacing="0" w:line="450" w:lineRule="atLeast"/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、项目编号：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GZSSNG-WSXJ-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MSB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-201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9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-00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8</w:t>
      </w:r>
    </w:p>
    <w:p>
      <w:pPr>
        <w:pStyle w:val="5"/>
        <w:widowControl/>
        <w:spacing w:beforeAutospacing="0" w:afterAutospacing="0" w:line="450" w:lineRule="atLeast"/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、项目名称：广州市少年宫美术培训部关于采购审美素养系列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展览设计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制作服务的网上询价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项目</w:t>
      </w:r>
    </w:p>
    <w:p>
      <w:pPr>
        <w:pStyle w:val="5"/>
        <w:widowControl/>
        <w:spacing w:beforeAutospacing="0" w:afterAutospacing="0" w:line="450" w:lineRule="atLeast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、项目内容：</w:t>
      </w:r>
    </w:p>
    <w:tbl>
      <w:tblPr>
        <w:tblStyle w:val="6"/>
        <w:tblW w:w="908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260"/>
        <w:gridCol w:w="561"/>
        <w:gridCol w:w="570"/>
        <w:gridCol w:w="703"/>
        <w:gridCol w:w="703"/>
        <w:gridCol w:w="476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名称规格</w:t>
            </w:r>
          </w:p>
        </w:tc>
        <w:tc>
          <w:tcPr>
            <w:tcW w:w="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4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项目策划费</w:t>
            </w:r>
          </w:p>
        </w:tc>
        <w:tc>
          <w:tcPr>
            <w:tcW w:w="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需有大型儿童展览策划经验20年以上，包括展览、平面的视觉策划。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图形处理</w:t>
            </w:r>
          </w:p>
        </w:tc>
        <w:tc>
          <w:tcPr>
            <w:tcW w:w="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具专业广告图形处理经验10年以上，需具相关专业美术院校本科以上毕业资质，工作细心，对色彩处理敏感。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三维展示图设计费</w:t>
            </w:r>
          </w:p>
        </w:tc>
        <w:tc>
          <w:tcPr>
            <w:tcW w:w="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人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对整个展览方案真实呈现视觉效果。包括主效果图五张，局部效果图若干张。需具相关美术学院的本科学历或以上，对色彩、造型、材质及灯光敏感。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平面设计费</w:t>
            </w:r>
          </w:p>
        </w:tc>
        <w:tc>
          <w:tcPr>
            <w:tcW w:w="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人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具专业广告排版设计验10年以上，需具相关专业美术院校本科毕业以上资质，内容包括设计制作海报、展板展架及宣传资料设计 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展示桁架</w:t>
            </w:r>
          </w:p>
        </w:tc>
        <w:tc>
          <w:tcPr>
            <w:tcW w:w="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个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3米*8米，两块，需使用KT板包边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海报</w:t>
            </w:r>
          </w:p>
        </w:tc>
        <w:tc>
          <w:tcPr>
            <w:tcW w:w="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高精度喷绘、使用背胶材料，过哑膜。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安迪板</w:t>
            </w:r>
          </w:p>
        </w:tc>
        <w:tc>
          <w:tcPr>
            <w:tcW w:w="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个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多种规格，包括镂空、异形及多种造型的搭建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地毯</w:t>
            </w:r>
          </w:p>
        </w:tc>
        <w:tc>
          <w:tcPr>
            <w:tcW w:w="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平方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厚度不低于7mm的灰色拉绒地毯，耐磨，能二次使用。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展示画架</w:t>
            </w:r>
          </w:p>
        </w:tc>
        <w:tc>
          <w:tcPr>
            <w:tcW w:w="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个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使用高档实木材质，外观尺寸50*50*110CM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门形展示架</w:t>
            </w:r>
          </w:p>
        </w:tc>
        <w:tc>
          <w:tcPr>
            <w:tcW w:w="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丽屏展架，80*180CM，铝合金材质，需坚固耐用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展场花絮视频制作费</w:t>
            </w:r>
          </w:p>
        </w:tc>
        <w:tc>
          <w:tcPr>
            <w:tcW w:w="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条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成品时间长度5分钟 ，需要不少于6天活动的拍摄素材，展览开始的第一天及其它陆续的一系列现场讲座拍摄。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可移背胶</w:t>
            </w:r>
          </w:p>
        </w:tc>
        <w:tc>
          <w:tcPr>
            <w:tcW w:w="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平方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4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需要使用进口可移背胶材料，防止脱胶，高清打印。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横幅</w:t>
            </w:r>
          </w:p>
        </w:tc>
        <w:tc>
          <w:tcPr>
            <w:tcW w:w="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条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4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使用条幅布，高清彩色喷绘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气球</w:t>
            </w:r>
          </w:p>
        </w:tc>
        <w:tc>
          <w:tcPr>
            <w:tcW w:w="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个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4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定制加厚气球，需防爆，需印刷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氦气瓶</w:t>
            </w:r>
          </w:p>
        </w:tc>
        <w:tc>
          <w:tcPr>
            <w:tcW w:w="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瓶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每瓶至少需充50个气球，在展览期间，需不定时进场为漏气的气球补充气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臂贴</w:t>
            </w:r>
          </w:p>
        </w:tc>
        <w:tc>
          <w:tcPr>
            <w:tcW w:w="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10*10CM，一套2个，异形，需啤，过哑膜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折页单张</w:t>
            </w:r>
          </w:p>
        </w:tc>
        <w:tc>
          <w:tcPr>
            <w:tcW w:w="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张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三折四页，使用美感极致150克，大八开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射灯</w:t>
            </w:r>
          </w:p>
        </w:tc>
        <w:tc>
          <w:tcPr>
            <w:tcW w:w="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40W以上，LED轨道灯（含轨道）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电线、粘胶等耗材</w:t>
            </w:r>
          </w:p>
        </w:tc>
        <w:tc>
          <w:tcPr>
            <w:tcW w:w="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批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优质线材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安装费</w:t>
            </w:r>
          </w:p>
        </w:tc>
        <w:tc>
          <w:tcPr>
            <w:tcW w:w="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次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</w:t>
            </w:r>
          </w:p>
        </w:tc>
        <w:tc>
          <w:tcPr>
            <w:tcW w:w="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次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撤展</w:t>
            </w:r>
          </w:p>
        </w:tc>
        <w:tc>
          <w:tcPr>
            <w:tcW w:w="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次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4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、项目预算上限：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750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00.00元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、合格的供应商应具备公告中列明的所有资格要求。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5"/>
        <w:widowControl/>
        <w:spacing w:beforeAutospacing="0" w:afterAutospacing="0" w:line="450" w:lineRule="atLeast"/>
        <w:rPr>
          <w:rFonts w:ascii="宋体" w:cs="Times New Roman"/>
          <w:color w:val="000000"/>
          <w:shd w:val="clear" w:color="auto" w:fill="FDFAF5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、采购方式：询价采购。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8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本次询价为整体采购，询价响应供应商报价时须写明单价及总价、产品的详细配置参数，投标报价包含货物制造、运输、安装调试、售后服务及技术培训等交付采购人使用前所有可能发生的费用，包含操作人员培训、税收以及售后服务等费用，定标后不再增补任何费用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、交货期：中标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供应商需在甲方提供相关素材后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天内供货完毕交付采购人使用。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、供货地点：广州市少年宫内采购人指定的地点。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、报价方必须提供产品的质量保证说明及售后服务承诺。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货物安装所需的配件或附加件，在合同签订前由成交供应商提交具体清单供采购单位确认。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、采购方在确定成交供应商后有权对成交产品的款式规格做适当调整。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、售后服务：乙方对于</w:t>
      </w:r>
      <w:r>
        <w:rPr>
          <w:rFonts w:hint="eastAsia" w:ascii="仿宋_GB2312" w:hAnsi="仿宋_GB2312" w:eastAsia="仿宋_GB2312"/>
          <w:sz w:val="32"/>
          <w:szCs w:val="32"/>
        </w:rPr>
        <w:t>海报</w:t>
      </w:r>
      <w:r>
        <w:rPr>
          <w:rFonts w:ascii="仿宋_GB2312" w:hAnsi="仿宋_GB2312" w:eastAsia="仿宋_GB2312"/>
          <w:sz w:val="32"/>
          <w:szCs w:val="32"/>
        </w:rPr>
        <w:t>、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展示</w:t>
      </w:r>
      <w:r>
        <w:rPr>
          <w:rFonts w:ascii="仿宋_GB2312" w:hAnsi="仿宋_GB2312" w:eastAsia="仿宋_GB2312"/>
          <w:sz w:val="32"/>
          <w:szCs w:val="32"/>
        </w:rPr>
        <w:t>架</w:t>
      </w:r>
      <w:r>
        <w:rPr>
          <w:rFonts w:hint="eastAsia" w:ascii="仿宋_GB2312" w:hAnsi="仿宋_GB2312" w:eastAsia="仿宋_GB2312"/>
          <w:sz w:val="32"/>
          <w:szCs w:val="32"/>
        </w:rPr>
        <w:t>等</w:t>
      </w:r>
      <w:r>
        <w:rPr>
          <w:rFonts w:ascii="仿宋_GB2312" w:hAnsi="仿宋_GB2312" w:eastAsia="仿宋_GB2312"/>
          <w:sz w:val="32"/>
          <w:szCs w:val="32"/>
        </w:rPr>
        <w:t>宣传品</w:t>
      </w:r>
      <w:r>
        <w:rPr>
          <w:rFonts w:hint="eastAsia" w:ascii="仿宋_GB2312" w:hAnsi="仿宋_GB2312" w:eastAsia="仿宋_GB2312"/>
          <w:sz w:val="32"/>
          <w:szCs w:val="32"/>
        </w:rPr>
        <w:t>的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质量问题，自安装交付完成之日起，保证三个月内免费更换；甲方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>因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海报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>等内容不符提出更换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的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>，乙方需在甲方提供合适照片内容后一天内完成更换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、报价方不得虚报各项技术指标，所供货物若不能符合技术要求，成交供应商必须接受全额退还货款，并承担由此给采购单位造成的</w:t>
      </w:r>
      <w:r>
        <w:fldChar w:fldCharType="begin"/>
      </w:r>
      <w:r>
        <w:instrText xml:space="preserve"> HYPERLINK "http://www.lwlm.com/Economy/" \t "http://www.lwlm.com/zixunxin/201211/_blank" </w:instrText>
      </w:r>
      <w:r>
        <w:fldChar w:fldCharType="separate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经济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fldChar w:fldCharType="end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损失。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、评审、定标原则：在所有的询价文件符合或高于询价采购文件各项要求的情况下，报价最低者为成交供应商；在此基础上报价若相同的，以售后服务承诺最优者为成交供应商。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、验收方法及标准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）、验收依据：询价通知书、询价报价、询价响应文件、厂家货物技术标准说明及国家有关的质量标准规定，均为验收依据。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）、货物验收：货物运抵采购人处后由双方对照采购清单及技术要求进行验收。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、出现下列情况之一者，投标文件无效，作为废标处理：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）未提供营业执照有效复印件（加盖投标企业公章）。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）询价响应文件字迹模糊不清（包括提交的各类复印件、图纸）。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 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询价响应内容、技术标准、售后服务没有实质性响应询价文件要求。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）未提供询价响应文件、报价一览表、售后服务体系说明及售后服务承诺。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18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、询价项目报价文件提交的时间及地点：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时间：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201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15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日上午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时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分，逾时作自动放弃。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地点：广州市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珠江新城华就路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273号广州市</w:t>
      </w:r>
      <w:bookmarkStart w:id="0" w:name="_GoBack"/>
      <w:bookmarkEnd w:id="0"/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第二少年宫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312办公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室。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项目咨询电话：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020-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37857016</w:t>
      </w:r>
      <w:r>
        <w:rPr>
          <w:rFonts w:eastAsia="仿宋_GB2312"/>
          <w:kern w:val="2"/>
          <w:sz w:val="32"/>
          <w:szCs w:val="32"/>
        </w:rPr>
        <w:t>  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联系人：曾老师</w:t>
      </w:r>
    </w:p>
    <w:sectPr>
      <w:pgSz w:w="11906" w:h="16838"/>
      <w:pgMar w:top="1134" w:right="1417" w:bottom="1134" w:left="1417" w:header="851" w:footer="992" w:gutter="0"/>
      <w:paperSrc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EB2C33"/>
    <w:rsid w:val="000216FE"/>
    <w:rsid w:val="001325A0"/>
    <w:rsid w:val="00136450"/>
    <w:rsid w:val="001A2FEB"/>
    <w:rsid w:val="001A5949"/>
    <w:rsid w:val="00263BA9"/>
    <w:rsid w:val="00263E3C"/>
    <w:rsid w:val="00322444"/>
    <w:rsid w:val="00367DC0"/>
    <w:rsid w:val="003973BF"/>
    <w:rsid w:val="003C4D4D"/>
    <w:rsid w:val="00433D7B"/>
    <w:rsid w:val="004B71F7"/>
    <w:rsid w:val="004B79EC"/>
    <w:rsid w:val="00500664"/>
    <w:rsid w:val="00656EAA"/>
    <w:rsid w:val="00760441"/>
    <w:rsid w:val="00780841"/>
    <w:rsid w:val="00881EF6"/>
    <w:rsid w:val="00887DB1"/>
    <w:rsid w:val="008D1A3B"/>
    <w:rsid w:val="0097793F"/>
    <w:rsid w:val="00C9117B"/>
    <w:rsid w:val="00CA3046"/>
    <w:rsid w:val="00D3311A"/>
    <w:rsid w:val="00DB4DC5"/>
    <w:rsid w:val="00DE1282"/>
    <w:rsid w:val="00E61967"/>
    <w:rsid w:val="00EA4DC7"/>
    <w:rsid w:val="00EB2C33"/>
    <w:rsid w:val="00F85647"/>
    <w:rsid w:val="00FC166B"/>
    <w:rsid w:val="00FD2401"/>
    <w:rsid w:val="0D094CA8"/>
    <w:rsid w:val="222B79D4"/>
    <w:rsid w:val="2B621FAA"/>
    <w:rsid w:val="57C33F22"/>
    <w:rsid w:val="73EA1A16"/>
    <w:rsid w:val="74B768C2"/>
    <w:rsid w:val="7A1C54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hAnsi="Courier New" w:cs="宋体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9">
    <w:name w:val="页眉 Char"/>
    <w:basedOn w:val="8"/>
    <w:link w:val="4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1">
    <w:name w:val="纯文本 Char"/>
    <w:basedOn w:val="8"/>
    <w:link w:val="2"/>
    <w:uiPriority w:val="99"/>
    <w:rPr>
      <w:rFonts w:ascii="宋体" w:hAnsi="Courier New" w:cs="宋体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349</Words>
  <Characters>1992</Characters>
  <Lines>16</Lines>
  <Paragraphs>4</Paragraphs>
  <TotalTime>4</TotalTime>
  <ScaleCrop>false</ScaleCrop>
  <LinksUpToDate>false</LinksUpToDate>
  <CharactersWithSpaces>2337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2018-02-04T08:52:00Z</dcterms:created>
  <dc:creator>306SF1</dc:creator>
  <cp:lastModifiedBy>306SF2</cp:lastModifiedBy>
  <cp:lastPrinted>2017-06-16T01:40:00Z</cp:lastPrinted>
  <dcterms:modified xsi:type="dcterms:W3CDTF">2019-07-10T06:56:26Z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