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113BA">
      <w:pPr>
        <w:widowControl/>
        <w:spacing w:line="240" w:lineRule="auto"/>
        <w:ind w:right="480"/>
        <w:jc w:val="left"/>
        <w:rPr>
          <w:rStyle w:val="11"/>
          <w:rFonts w:hint="eastAsia" w:ascii="黑体" w:hAnsi="黑体" w:eastAsia="黑体" w:cs="黑体"/>
          <w:iCs w:val="0"/>
          <w:color w:val="auto"/>
          <w:lang w:val="en-US"/>
        </w:rPr>
      </w:pPr>
      <w:bookmarkStart w:id="0" w:name="_Hlk533590101"/>
      <w:r>
        <w:rPr>
          <w:rStyle w:val="11"/>
          <w:rFonts w:hint="eastAsia" w:ascii="黑体" w:hAnsi="黑体" w:eastAsia="黑体" w:cs="黑体"/>
          <w:color w:val="auto"/>
        </w:rPr>
        <w:t>附件</w:t>
      </w:r>
      <w:r>
        <w:rPr>
          <w:rStyle w:val="11"/>
          <w:rFonts w:hint="eastAsia" w:ascii="黑体" w:hAnsi="黑体" w:eastAsia="黑体" w:cs="黑体"/>
          <w:color w:val="auto"/>
          <w:lang w:val="en-US" w:eastAsia="zh-CN"/>
        </w:rPr>
        <w:t>2-2</w:t>
      </w:r>
    </w:p>
    <w:p w14:paraId="720C7427">
      <w:pPr>
        <w:pStyle w:val="2"/>
        <w:ind w:firstLine="0" w:firstLineChars="0"/>
        <w:jc w:val="center"/>
        <w:rPr>
          <w:rFonts w:hint="default" w:ascii="Times New Roman" w:hAnsi="Times New Roman" w:cs="Times New Roman"/>
          <w:color w:val="auto"/>
        </w:rPr>
      </w:pPr>
    </w:p>
    <w:p w14:paraId="0EC130F1">
      <w:pPr>
        <w:pStyle w:val="2"/>
        <w:ind w:firstLine="0" w:firstLineChars="0"/>
        <w:jc w:val="center"/>
        <w:rPr>
          <w:rFonts w:hint="default" w:ascii="Times New Roman" w:hAnsi="Times New Roman" w:cs="Times New Roman"/>
          <w:color w:val="auto"/>
        </w:rPr>
      </w:pPr>
    </w:p>
    <w:p w14:paraId="62A9BB92">
      <w:pPr>
        <w:pStyle w:val="2"/>
        <w:ind w:firstLine="0" w:firstLineChars="0"/>
        <w:jc w:val="center"/>
        <w:rPr>
          <w:rFonts w:hint="default" w:ascii="Times New Roman" w:hAnsi="Times New Roman" w:cs="Times New Roman"/>
          <w:color w:val="auto"/>
        </w:rPr>
      </w:pPr>
    </w:p>
    <w:p w14:paraId="24C06CD3">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713D56D3">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42438D93">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48C50E32">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22E1F80A">
      <w:pPr>
        <w:widowControl/>
        <w:spacing w:line="240" w:lineRule="auto"/>
        <w:ind w:firstLine="0" w:firstLineChars="0"/>
        <w:textAlignment w:val="center"/>
        <w:rPr>
          <w:color w:val="auto"/>
          <w:kern w:val="0"/>
          <w:szCs w:val="32"/>
        </w:rPr>
      </w:pPr>
    </w:p>
    <w:p w14:paraId="11BEE2B7">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14:paraId="363AD82C">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412DF404">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14:paraId="6864F8E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5F6CCB4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71C9F9C8">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14:paraId="0B8EF533">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p w14:paraId="1FF46DD3">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宋体" w:hAnsi="宋体" w:eastAsia="宋体" w:cs="宋体"/>
          <w:b/>
          <w:i w:val="0"/>
          <w:color w:val="auto"/>
          <w:kern w:val="0"/>
          <w:sz w:val="28"/>
          <w:szCs w:val="28"/>
          <w:u w:val="none"/>
          <w:lang w:val="en-US" w:eastAsia="zh-CN"/>
        </w:rPr>
      </w:pPr>
      <w:r>
        <w:rPr>
          <w:rFonts w:hint="eastAsia" w:ascii="宋体" w:hAnsi="宋体" w:eastAsia="宋体" w:cs="宋体"/>
          <w:b/>
          <w:bCs/>
          <w:color w:val="auto"/>
          <w:kern w:val="0"/>
          <w:sz w:val="24"/>
          <w:szCs w:val="24"/>
          <w:lang w:eastAsia="zh-CN"/>
        </w:rPr>
        <w:t>（一）男职工</w:t>
      </w:r>
      <w:r>
        <w:rPr>
          <w:rFonts w:hint="eastAsia" w:ascii="宋体" w:hAnsi="宋体" w:eastAsia="宋体" w:cs="宋体"/>
          <w:b/>
          <w:i w:val="0"/>
          <w:color w:val="auto"/>
          <w:kern w:val="0"/>
          <w:sz w:val="24"/>
          <w:szCs w:val="24"/>
          <w:u w:val="none"/>
          <w:lang w:val="en-US" w:eastAsia="zh-CN"/>
        </w:rPr>
        <w:t>体检报价表（男</w:t>
      </w:r>
      <w:r>
        <w:rPr>
          <w:rFonts w:hint="eastAsia" w:ascii="宋体" w:hAnsi="宋体" w:cs="宋体"/>
          <w:b/>
          <w:i w:val="0"/>
          <w:color w:val="auto"/>
          <w:kern w:val="0"/>
          <w:sz w:val="24"/>
          <w:szCs w:val="24"/>
          <w:u w:val="none"/>
          <w:lang w:val="en-US" w:eastAsia="zh-CN"/>
        </w:rPr>
        <w:t>40</w:t>
      </w:r>
      <w:r>
        <w:rPr>
          <w:rFonts w:hint="eastAsia" w:ascii="宋体" w:hAnsi="宋体" w:eastAsia="宋体" w:cs="宋体"/>
          <w:b/>
          <w:i w:val="0"/>
          <w:color w:val="auto"/>
          <w:kern w:val="0"/>
          <w:sz w:val="24"/>
          <w:szCs w:val="24"/>
          <w:u w:val="none"/>
          <w:lang w:val="en-US" w:eastAsia="zh-CN"/>
        </w:rPr>
        <w:t>人）</w:t>
      </w:r>
      <w:r>
        <w:rPr>
          <w:rFonts w:hint="eastAsia" w:ascii="宋体" w:hAnsi="宋体" w:eastAsia="宋体" w:cs="宋体"/>
          <w:b/>
          <w:i w:val="0"/>
          <w:color w:val="auto"/>
          <w:kern w:val="0"/>
          <w:sz w:val="28"/>
          <w:szCs w:val="28"/>
          <w:u w:val="none"/>
          <w:lang w:val="en-US" w:eastAsia="zh-CN"/>
        </w:rPr>
        <w:t xml:space="preserve">   </w:t>
      </w:r>
    </w:p>
    <w:tbl>
      <w:tblPr>
        <w:tblStyle w:val="7"/>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589"/>
        <w:gridCol w:w="4066"/>
        <w:gridCol w:w="1435"/>
      </w:tblGrid>
      <w:tr w14:paraId="0F74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8A6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34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DE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411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14:paraId="0959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C44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57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42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647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7664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07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B6D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03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52B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02A6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A1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C9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双肾输尿管膀胱前列腺彩超 </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7D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筛查双肾的肿瘤、结石及前列腺炎症、肥大、肿瘤等情况。彩超可以更加清楚了解泌尿系统及前列腺的疾病及血流变化情况。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C96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0549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3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04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DC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1DA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47FC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60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8E4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5C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0BB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BC4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F6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CB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02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C49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A0A6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5E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18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713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D3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210F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68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F0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w:t>
            </w:r>
            <w:r>
              <w:rPr>
                <w:rFonts w:hint="eastAsia" w:ascii="宋体" w:hAnsi="宋体" w:cs="宋体"/>
                <w:i w:val="0"/>
                <w:iCs w:val="0"/>
                <w:color w:val="auto"/>
                <w:kern w:val="0"/>
                <w:sz w:val="20"/>
                <w:szCs w:val="20"/>
                <w:u w:val="none"/>
                <w:lang w:val="en-US" w:eastAsia="zh-CN" w:bidi="ar"/>
              </w:rPr>
              <w:t>三</w:t>
            </w:r>
            <w:r>
              <w:rPr>
                <w:rFonts w:hint="eastAsia" w:ascii="宋体" w:hAnsi="宋体" w:eastAsia="宋体" w:cs="宋体"/>
                <w:i w:val="0"/>
                <w:iCs w:val="0"/>
                <w:color w:val="auto"/>
                <w:kern w:val="0"/>
                <w:sz w:val="20"/>
                <w:szCs w:val="20"/>
                <w:u w:val="none"/>
                <w:lang w:val="en-US" w:eastAsia="zh-CN" w:bidi="ar"/>
              </w:rPr>
              <w:t>项（血清尿素、血清肌酐、尿酸）</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4F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107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12A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351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E2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B0E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907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46F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CCC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0E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2D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40D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4ED2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BB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1C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70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B94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705F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51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43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糖化血红蛋白</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D908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人体血液中红细胞内的血红蛋白与血糖结合的产物，反映近8一12周的血糖水平。</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0C0E">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auto"/>
                <w:sz w:val="20"/>
                <w:szCs w:val="20"/>
                <w:u w:val="none"/>
              </w:rPr>
            </w:pPr>
          </w:p>
        </w:tc>
      </w:tr>
      <w:tr w14:paraId="38F3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1C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F6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甲功三项</w:t>
            </w:r>
            <w:r>
              <w:rPr>
                <w:rFonts w:hint="eastAsia" w:ascii="宋体" w:hAnsi="宋体" w:cs="宋体"/>
                <w:i w:val="0"/>
                <w:iCs w:val="0"/>
                <w:color w:val="auto"/>
                <w:kern w:val="0"/>
                <w:sz w:val="20"/>
                <w:szCs w:val="20"/>
                <w:u w:val="none"/>
                <w:lang w:val="en-US" w:eastAsia="zh-CN" w:bidi="ar"/>
              </w:rPr>
              <w:t>（游离三碘甲状腺原氨酸 FT3、游离甲状腺素 FT4、促甲状腺素TSH）</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067B5">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甲状腺功能判定,甲亢或者甲低等甲状腺功性能疾病的判断。了解甲状腺分泌功能及免疫状状况，检查是否有甲状腺功能亢进或减退、炎症，也用于治疗过程中激素水平的监测和疗效评估。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A3C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47CF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BC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FC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w:t>
            </w:r>
            <w:r>
              <w:rPr>
                <w:rFonts w:hint="eastAsia" w:ascii="宋体" w:hAnsi="宋体" w:cs="宋体"/>
                <w:i w:val="0"/>
                <w:iCs w:val="0"/>
                <w:color w:val="auto"/>
                <w:kern w:val="0"/>
                <w:sz w:val="20"/>
                <w:szCs w:val="20"/>
                <w:u w:val="none"/>
                <w:lang w:val="en-US" w:eastAsia="zh-CN" w:bidi="ar"/>
              </w:rPr>
              <w:t>性</w:t>
            </w:r>
            <w:r>
              <w:rPr>
                <w:rFonts w:hint="eastAsia" w:ascii="宋体" w:hAnsi="宋体" w:eastAsia="宋体" w:cs="宋体"/>
                <w:i w:val="0"/>
                <w:iCs w:val="0"/>
                <w:color w:val="auto"/>
                <w:kern w:val="0"/>
                <w:sz w:val="20"/>
                <w:szCs w:val="20"/>
                <w:u w:val="none"/>
                <w:lang w:val="en-US" w:eastAsia="zh-CN" w:bidi="ar"/>
              </w:rPr>
              <w:t>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E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36B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C77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C73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F2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70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794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1B47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F8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8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F6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3D8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66D4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1D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03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前列腺肿瘤筛查二项（总前列腺抗原 TPSA、游离前列腺抗原 FPSA）</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60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包括总前列腺特异性抗原测定(tPSA)、游离前列腺特异性抗原测定(fPSA)，对前列腺癌筛查、前列腺术后有重要评估作用。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AD9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2AD5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126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22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21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CFB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DA7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F4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3D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CB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69F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A30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827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5B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消化系统肿瘤筛查二项（糖类抗原72-4、糖类抗原19-9）</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69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用于消化道肿瘤（胃癌、胰腺癌等）的诊断筛查。</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D7E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697B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60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86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7BF8">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2D1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535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787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B9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CC54">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9E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6C4A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56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EDE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8C3C">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E34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490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242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56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476FE">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645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1E2C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855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DF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BCA60">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78D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A2B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98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CE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F4AFB">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E29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auto"/>
                <w:sz w:val="22"/>
                <w:szCs w:val="22"/>
                <w:u w:val="none"/>
              </w:rPr>
            </w:pPr>
          </w:p>
        </w:tc>
      </w:tr>
    </w:tbl>
    <w:p w14:paraId="2C423D39">
      <w:pPr>
        <w:widowControl/>
        <w:spacing w:line="520" w:lineRule="exact"/>
        <w:ind w:firstLine="560"/>
        <w:textAlignment w:val="center"/>
        <w:rPr>
          <w:rFonts w:hint="eastAsia" w:ascii="宋体" w:hAnsi="宋体" w:eastAsia="宋体"/>
          <w:color w:val="auto"/>
          <w:kern w:val="0"/>
          <w:sz w:val="28"/>
        </w:rPr>
      </w:pPr>
    </w:p>
    <w:p w14:paraId="68B51CCB">
      <w:pPr>
        <w:widowControl/>
        <w:spacing w:line="520" w:lineRule="exact"/>
        <w:ind w:firstLine="560"/>
        <w:textAlignment w:val="center"/>
        <w:rPr>
          <w:rFonts w:hint="eastAsia" w:ascii="宋体" w:hAnsi="宋体" w:eastAsia="宋体"/>
          <w:color w:val="auto"/>
          <w:kern w:val="0"/>
          <w:sz w:val="28"/>
        </w:rPr>
      </w:pPr>
      <w:r>
        <w:rPr>
          <w:rFonts w:hint="eastAsia" w:ascii="宋体" w:hAnsi="宋体" w:eastAsia="宋体" w:cs="宋体"/>
          <w:b/>
          <w:i w:val="0"/>
          <w:color w:val="auto"/>
          <w:kern w:val="0"/>
          <w:sz w:val="24"/>
          <w:szCs w:val="24"/>
          <w:u w:val="none"/>
          <w:lang w:val="en-US" w:eastAsia="zh-CN"/>
        </w:rPr>
        <w:t>（二）已婚女职工体检报价表（</w:t>
      </w:r>
      <w:r>
        <w:rPr>
          <w:rFonts w:hint="eastAsia" w:ascii="宋体" w:hAnsi="宋体" w:cs="宋体"/>
          <w:b/>
          <w:i w:val="0"/>
          <w:color w:val="auto"/>
          <w:kern w:val="0"/>
          <w:sz w:val="24"/>
          <w:szCs w:val="24"/>
          <w:u w:val="none"/>
          <w:lang w:val="en-US" w:eastAsia="zh-CN"/>
        </w:rPr>
        <w:t>88</w:t>
      </w:r>
      <w:r>
        <w:rPr>
          <w:rFonts w:hint="eastAsia" w:ascii="宋体" w:hAnsi="宋体" w:eastAsia="宋体" w:cs="宋体"/>
          <w:b/>
          <w:i w:val="0"/>
          <w:color w:val="auto"/>
          <w:kern w:val="0"/>
          <w:sz w:val="24"/>
          <w:szCs w:val="24"/>
          <w:u w:val="none"/>
          <w:lang w:val="en-US" w:eastAsia="zh-CN"/>
        </w:rPr>
        <w:t xml:space="preserve">人）  </w:t>
      </w:r>
    </w:p>
    <w:tbl>
      <w:tblPr>
        <w:tblStyle w:val="7"/>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589"/>
        <w:gridCol w:w="4066"/>
        <w:gridCol w:w="1435"/>
      </w:tblGrid>
      <w:tr w14:paraId="7191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00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E1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C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DD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14:paraId="2B4F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8B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990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BFC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09A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58F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92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31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乳腺手检</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087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乳腺检查的基础项目，含乳房视诊和触诊：视诊观察乳腺外形、皮肤、乳头，腋窝、锁骨上下，触诊检查乳腺和腋窝是否有肿块和肿大淋巴结。</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273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347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24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F8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妇科常规检查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F9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包括窥窥阴器检查和双合诊检查，窥阴器通过观察外阴、阴道、宫颈、双合诊检查子宫、输卵管、卵巢，对妇科做出初步判断。也是宫颈癌筛查取样的必须检查手段。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EC3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22EF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06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ED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膜式液基超薄细胞学检测(TCT)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EF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液基超薄细胞学技术对宫颈脱落细胞进行细胞学检查，对阴道感染、宫颈感染、宫颈病变、宫颈癌变进行鉴别筛查。是目前国际上最先进的应用最广泛的一种宫颈癌细胞学检查和筛查技术。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646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ED7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2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FE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45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E5C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702A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2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BB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85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996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2ECC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790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CD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妇科阴道彩超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6B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9FE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6C7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FA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586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384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D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1FF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5E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651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37C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317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0E1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C7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063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B546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494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322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B2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48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AF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9F5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3914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64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50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65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5AD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2B4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6B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D2D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w:t>
            </w:r>
            <w:r>
              <w:rPr>
                <w:rFonts w:hint="eastAsia" w:ascii="宋体" w:hAnsi="宋体" w:cs="宋体"/>
                <w:i w:val="0"/>
                <w:iCs w:val="0"/>
                <w:color w:val="auto"/>
                <w:kern w:val="0"/>
                <w:sz w:val="20"/>
                <w:szCs w:val="20"/>
                <w:u w:val="none"/>
                <w:lang w:val="en-US" w:eastAsia="zh-CN" w:bidi="ar"/>
              </w:rPr>
              <w:t>三</w:t>
            </w:r>
            <w:r>
              <w:rPr>
                <w:rFonts w:hint="eastAsia" w:ascii="宋体" w:hAnsi="宋体" w:eastAsia="宋体" w:cs="宋体"/>
                <w:i w:val="0"/>
                <w:iCs w:val="0"/>
                <w:color w:val="auto"/>
                <w:kern w:val="0"/>
                <w:sz w:val="20"/>
                <w:szCs w:val="20"/>
                <w:u w:val="none"/>
                <w:lang w:val="en-US" w:eastAsia="zh-CN" w:bidi="ar"/>
              </w:rPr>
              <w:t>项（血清尿素、血清肌酐、尿酸）</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A1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93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7E93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A9C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E89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51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807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4E2C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B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E5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4C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892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61AD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CA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43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49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7B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4D0C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14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DA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糖化血红蛋白</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A86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人体血液中红细胞内的血红蛋白与血糖结合的产物，反映近8一12周的血糖水平。</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DE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609C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A5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1C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甲功三项</w:t>
            </w:r>
            <w:r>
              <w:rPr>
                <w:rFonts w:hint="eastAsia" w:ascii="宋体" w:hAnsi="宋体" w:cs="宋体"/>
                <w:i w:val="0"/>
                <w:iCs w:val="0"/>
                <w:color w:val="auto"/>
                <w:kern w:val="0"/>
                <w:sz w:val="20"/>
                <w:szCs w:val="20"/>
                <w:u w:val="none"/>
                <w:lang w:val="en-US" w:eastAsia="zh-CN" w:bidi="ar"/>
              </w:rPr>
              <w:t>（游离三碘甲状腺原氨酸 FT3、游离甲状腺素 FT4、促甲状腺素TSH）</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9D0">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z w:val="20"/>
                <w:szCs w:val="20"/>
                <w:u w:val="none"/>
              </w:rPr>
              <w:t>甲状腺功能判定,甲亢或者甲低等甲状腺功性能疾病的判断。了解甲状腺分泌功能及免疫状状况，检查是否有甲状腺功能亢进或减退、炎症，也用于治疗过程中激素水平的监测和疗效评估。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EEC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19A3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B3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7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w:t>
            </w:r>
            <w:r>
              <w:rPr>
                <w:rFonts w:hint="eastAsia" w:ascii="宋体" w:hAnsi="宋体" w:cs="宋体"/>
                <w:i w:val="0"/>
                <w:iCs w:val="0"/>
                <w:color w:val="auto"/>
                <w:kern w:val="0"/>
                <w:sz w:val="20"/>
                <w:szCs w:val="20"/>
                <w:u w:val="none"/>
                <w:lang w:val="en-US" w:eastAsia="zh-CN" w:bidi="ar"/>
              </w:rPr>
              <w:t>性</w:t>
            </w:r>
            <w:r>
              <w:rPr>
                <w:rFonts w:hint="eastAsia" w:ascii="宋体" w:hAnsi="宋体" w:eastAsia="宋体" w:cs="宋体"/>
                <w:i w:val="0"/>
                <w:iCs w:val="0"/>
                <w:color w:val="auto"/>
                <w:kern w:val="0"/>
                <w:sz w:val="20"/>
                <w:szCs w:val="20"/>
                <w:u w:val="none"/>
                <w:lang w:val="en-US" w:eastAsia="zh-CN" w:bidi="ar"/>
              </w:rPr>
              <w:t>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A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D92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4369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F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A3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5E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74B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1585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8E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F0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F6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586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15CE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1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41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5E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ADE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1B1B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60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0B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E9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E2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2A54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343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90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18"/>
              </w:rPr>
              <w:t>消化系统肿瘤筛查二项（糖类抗原72-4、糖类抗原19-9）</w:t>
            </w:r>
            <w:r>
              <w:rPr>
                <w:rFonts w:hint="eastAsia"/>
                <w:sz w:val="20"/>
                <w:szCs w:val="18"/>
              </w:rPr>
              <w:tab/>
            </w:r>
            <w:r>
              <w:rPr>
                <w:rFonts w:hint="eastAsia"/>
                <w:sz w:val="20"/>
                <w:szCs w:val="18"/>
              </w:rPr>
              <w:t>用于消化道肿瘤（胃癌、胰腺癌等）的诊断筛查。</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04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18"/>
              </w:rPr>
              <w:t>消化系统肿瘤筛查二项（糖类抗原72-4、糖类抗原19-9）</w:t>
            </w:r>
            <w:r>
              <w:rPr>
                <w:rFonts w:hint="eastAsia"/>
                <w:sz w:val="20"/>
                <w:szCs w:val="18"/>
              </w:rPr>
              <w:tab/>
            </w:r>
            <w:r>
              <w:rPr>
                <w:rFonts w:hint="eastAsia"/>
                <w:sz w:val="20"/>
                <w:szCs w:val="18"/>
              </w:rPr>
              <w:t>用于消化道肿瘤（胃癌、胰腺癌等）的诊断筛查。</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D70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2F13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2A6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CD4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E120">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CFC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2C07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5F5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79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795C">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C1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08BA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F33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02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9CEB">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D300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7D3C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48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8BB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B2CA">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043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5402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FB0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F9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616ED">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60D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20"/>
                <w:szCs w:val="20"/>
                <w:u w:val="none"/>
              </w:rPr>
            </w:pPr>
          </w:p>
        </w:tc>
      </w:tr>
      <w:tr w14:paraId="6795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13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F5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FD42">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1891">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auto"/>
                <w:sz w:val="22"/>
                <w:szCs w:val="22"/>
                <w:u w:val="none"/>
              </w:rPr>
            </w:pPr>
          </w:p>
        </w:tc>
      </w:tr>
    </w:tbl>
    <w:p w14:paraId="3D45ED6A">
      <w:pPr>
        <w:widowControl/>
        <w:spacing w:line="520" w:lineRule="exact"/>
        <w:ind w:firstLine="560"/>
        <w:textAlignment w:val="center"/>
        <w:rPr>
          <w:rFonts w:hint="eastAsia" w:ascii="宋体" w:hAnsi="宋体" w:eastAsia="宋体"/>
          <w:color w:val="auto"/>
          <w:kern w:val="0"/>
          <w:sz w:val="28"/>
        </w:rPr>
      </w:pPr>
    </w:p>
    <w:p w14:paraId="7E110220">
      <w:pPr>
        <w:widowControl/>
        <w:numPr>
          <w:ilvl w:val="0"/>
          <w:numId w:val="0"/>
        </w:numPr>
        <w:spacing w:line="520" w:lineRule="exact"/>
        <w:textAlignment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i w:val="0"/>
          <w:color w:val="auto"/>
          <w:kern w:val="0"/>
          <w:sz w:val="24"/>
          <w:szCs w:val="24"/>
          <w:u w:val="none"/>
          <w:lang w:val="en-US" w:eastAsia="zh-CN"/>
        </w:rPr>
        <w:t>（三）未婚女职工体检报价表（</w:t>
      </w:r>
      <w:r>
        <w:rPr>
          <w:rFonts w:hint="eastAsia" w:ascii="宋体" w:hAnsi="宋体" w:cs="宋体"/>
          <w:b/>
          <w:bCs w:val="0"/>
          <w:i w:val="0"/>
          <w:color w:val="auto"/>
          <w:kern w:val="0"/>
          <w:sz w:val="24"/>
          <w:szCs w:val="24"/>
          <w:u w:val="none"/>
          <w:lang w:val="en-US" w:eastAsia="zh-CN"/>
        </w:rPr>
        <w:t>20</w:t>
      </w:r>
      <w:r>
        <w:rPr>
          <w:rFonts w:hint="eastAsia" w:ascii="宋体" w:hAnsi="宋体" w:eastAsia="宋体" w:cs="宋体"/>
          <w:b/>
          <w:bCs w:val="0"/>
          <w:i w:val="0"/>
          <w:color w:val="auto"/>
          <w:kern w:val="0"/>
          <w:sz w:val="24"/>
          <w:szCs w:val="24"/>
          <w:u w:val="none"/>
          <w:lang w:val="en-US" w:eastAsia="zh-CN"/>
        </w:rPr>
        <w:t>人）</w:t>
      </w:r>
      <w:r>
        <w:rPr>
          <w:rFonts w:hint="eastAsia" w:ascii="宋体" w:hAnsi="宋体" w:eastAsia="宋体" w:cs="宋体"/>
          <w:b/>
          <w:bCs w:val="0"/>
          <w:i w:val="0"/>
          <w:color w:val="auto"/>
          <w:kern w:val="0"/>
          <w:sz w:val="28"/>
          <w:szCs w:val="28"/>
          <w:u w:val="none"/>
          <w:lang w:val="en-US" w:eastAsia="zh-CN"/>
        </w:rPr>
        <w:t xml:space="preserve"> </w:t>
      </w:r>
    </w:p>
    <w:tbl>
      <w:tblPr>
        <w:tblStyle w:val="7"/>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7"/>
        <w:gridCol w:w="2609"/>
        <w:gridCol w:w="4138"/>
        <w:gridCol w:w="1381"/>
      </w:tblGrid>
      <w:tr w14:paraId="0E39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60A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214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9B4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4961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14:paraId="270E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D3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380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C6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1388">
            <w:pPr>
              <w:jc w:val="center"/>
              <w:rPr>
                <w:rFonts w:hint="eastAsia" w:ascii="宋体" w:hAnsi="宋体" w:eastAsia="宋体" w:cs="宋体"/>
                <w:i w:val="0"/>
                <w:iCs w:val="0"/>
                <w:color w:val="auto"/>
                <w:sz w:val="20"/>
                <w:szCs w:val="20"/>
                <w:u w:val="none"/>
              </w:rPr>
            </w:pPr>
          </w:p>
        </w:tc>
      </w:tr>
      <w:tr w14:paraId="12A3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7B4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F3DF">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乳腺手检</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F5D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乳腺检查的基础项目，含乳房视诊和触诊：视诊观察乳腺外形、皮肤、乳头，腋窝、锁骨上下，触诊检查乳腺和腋窝是否有肿块和肿大淋巴结。</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DD7A">
            <w:pPr>
              <w:jc w:val="center"/>
              <w:rPr>
                <w:rFonts w:hint="eastAsia" w:ascii="宋体" w:hAnsi="宋体" w:eastAsia="宋体" w:cs="宋体"/>
                <w:i w:val="0"/>
                <w:iCs w:val="0"/>
                <w:color w:val="auto"/>
                <w:sz w:val="20"/>
                <w:szCs w:val="20"/>
                <w:u w:val="none"/>
              </w:rPr>
            </w:pPr>
          </w:p>
        </w:tc>
      </w:tr>
      <w:tr w14:paraId="338A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22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57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1C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9007">
            <w:pPr>
              <w:jc w:val="center"/>
              <w:rPr>
                <w:rFonts w:hint="eastAsia" w:ascii="宋体" w:hAnsi="宋体" w:eastAsia="宋体" w:cs="宋体"/>
                <w:i w:val="0"/>
                <w:iCs w:val="0"/>
                <w:color w:val="auto"/>
                <w:sz w:val="20"/>
                <w:szCs w:val="20"/>
                <w:u w:val="none"/>
              </w:rPr>
            </w:pPr>
          </w:p>
        </w:tc>
      </w:tr>
      <w:tr w14:paraId="714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BE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CB1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8A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0481">
            <w:pPr>
              <w:jc w:val="center"/>
              <w:rPr>
                <w:rFonts w:hint="eastAsia" w:ascii="宋体" w:hAnsi="宋体" w:eastAsia="宋体" w:cs="宋体"/>
                <w:i w:val="0"/>
                <w:iCs w:val="0"/>
                <w:color w:val="auto"/>
                <w:sz w:val="20"/>
                <w:szCs w:val="20"/>
                <w:u w:val="none"/>
              </w:rPr>
            </w:pPr>
          </w:p>
        </w:tc>
      </w:tr>
      <w:tr w14:paraId="6F85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7D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299F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E4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6C80">
            <w:pPr>
              <w:jc w:val="center"/>
              <w:rPr>
                <w:rFonts w:hint="eastAsia" w:ascii="宋体" w:hAnsi="宋体" w:eastAsia="宋体" w:cs="宋体"/>
                <w:i w:val="0"/>
                <w:iCs w:val="0"/>
                <w:color w:val="auto"/>
                <w:sz w:val="20"/>
                <w:szCs w:val="20"/>
                <w:u w:val="none"/>
              </w:rPr>
            </w:pPr>
          </w:p>
        </w:tc>
      </w:tr>
      <w:tr w14:paraId="45FB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38C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6</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FFD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8D4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FF70">
            <w:pPr>
              <w:jc w:val="center"/>
              <w:rPr>
                <w:rFonts w:hint="eastAsia" w:ascii="宋体" w:hAnsi="宋体" w:eastAsia="宋体" w:cs="宋体"/>
                <w:i w:val="0"/>
                <w:iCs w:val="0"/>
                <w:color w:val="auto"/>
                <w:sz w:val="20"/>
                <w:szCs w:val="20"/>
                <w:u w:val="none"/>
              </w:rPr>
            </w:pPr>
          </w:p>
        </w:tc>
      </w:tr>
      <w:tr w14:paraId="7E61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37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7</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8A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6E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583D">
            <w:pPr>
              <w:jc w:val="center"/>
              <w:rPr>
                <w:rFonts w:hint="eastAsia" w:ascii="宋体" w:hAnsi="宋体" w:eastAsia="宋体" w:cs="宋体"/>
                <w:i w:val="0"/>
                <w:iCs w:val="0"/>
                <w:color w:val="auto"/>
                <w:sz w:val="20"/>
                <w:szCs w:val="20"/>
                <w:u w:val="none"/>
              </w:rPr>
            </w:pPr>
          </w:p>
        </w:tc>
      </w:tr>
      <w:tr w14:paraId="1D99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82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5F53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低剂量肺部平扫CT</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34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4F31">
            <w:pPr>
              <w:jc w:val="center"/>
              <w:rPr>
                <w:rFonts w:hint="eastAsia" w:ascii="宋体" w:hAnsi="宋体" w:eastAsia="宋体" w:cs="宋体"/>
                <w:i w:val="0"/>
                <w:iCs w:val="0"/>
                <w:color w:val="auto"/>
                <w:sz w:val="20"/>
                <w:szCs w:val="20"/>
                <w:u w:val="none"/>
              </w:rPr>
            </w:pPr>
          </w:p>
        </w:tc>
      </w:tr>
      <w:tr w14:paraId="45DF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EC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9</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8C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D3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6E27">
            <w:pPr>
              <w:jc w:val="center"/>
              <w:rPr>
                <w:rFonts w:hint="eastAsia" w:ascii="宋体" w:hAnsi="宋体" w:eastAsia="宋体" w:cs="宋体"/>
                <w:i w:val="0"/>
                <w:iCs w:val="0"/>
                <w:color w:val="auto"/>
                <w:sz w:val="20"/>
                <w:szCs w:val="20"/>
                <w:u w:val="none"/>
              </w:rPr>
            </w:pPr>
          </w:p>
        </w:tc>
      </w:tr>
      <w:tr w14:paraId="249D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2B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A6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DC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534">
            <w:pPr>
              <w:jc w:val="center"/>
              <w:rPr>
                <w:rFonts w:hint="eastAsia" w:ascii="宋体" w:hAnsi="宋体" w:eastAsia="宋体" w:cs="宋体"/>
                <w:i w:val="0"/>
                <w:iCs w:val="0"/>
                <w:color w:val="auto"/>
                <w:sz w:val="20"/>
                <w:szCs w:val="20"/>
                <w:u w:val="none"/>
              </w:rPr>
            </w:pPr>
          </w:p>
        </w:tc>
      </w:tr>
      <w:tr w14:paraId="1833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9F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A5B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w:t>
            </w:r>
            <w:r>
              <w:rPr>
                <w:rFonts w:hint="eastAsia" w:ascii="宋体" w:hAnsi="宋体" w:cs="宋体"/>
                <w:i w:val="0"/>
                <w:iCs w:val="0"/>
                <w:color w:val="auto"/>
                <w:kern w:val="0"/>
                <w:sz w:val="20"/>
                <w:szCs w:val="20"/>
                <w:u w:val="none"/>
                <w:lang w:val="en-US" w:eastAsia="zh-CN" w:bidi="ar"/>
              </w:rPr>
              <w:t>三</w:t>
            </w:r>
            <w:r>
              <w:rPr>
                <w:rFonts w:hint="eastAsia" w:ascii="宋体" w:hAnsi="宋体" w:eastAsia="宋体" w:cs="宋体"/>
                <w:i w:val="0"/>
                <w:iCs w:val="0"/>
                <w:color w:val="auto"/>
                <w:kern w:val="0"/>
                <w:sz w:val="20"/>
                <w:szCs w:val="20"/>
                <w:u w:val="none"/>
                <w:lang w:val="en-US" w:eastAsia="zh-CN" w:bidi="ar"/>
              </w:rPr>
              <w:t>项（血清尿素、血清肌酐、尿酸）</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EB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1E1A">
            <w:pPr>
              <w:jc w:val="center"/>
              <w:rPr>
                <w:rFonts w:hint="eastAsia" w:ascii="宋体" w:hAnsi="宋体" w:eastAsia="宋体" w:cs="宋体"/>
                <w:i w:val="0"/>
                <w:iCs w:val="0"/>
                <w:color w:val="auto"/>
                <w:sz w:val="20"/>
                <w:szCs w:val="20"/>
                <w:u w:val="none"/>
              </w:rPr>
            </w:pPr>
          </w:p>
        </w:tc>
      </w:tr>
      <w:tr w14:paraId="4589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98C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F5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0A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8046">
            <w:pPr>
              <w:jc w:val="center"/>
              <w:rPr>
                <w:rFonts w:hint="eastAsia" w:ascii="宋体" w:hAnsi="宋体" w:eastAsia="宋体" w:cs="宋体"/>
                <w:i w:val="0"/>
                <w:iCs w:val="0"/>
                <w:color w:val="auto"/>
                <w:sz w:val="20"/>
                <w:szCs w:val="20"/>
                <w:u w:val="none"/>
              </w:rPr>
            </w:pPr>
          </w:p>
        </w:tc>
      </w:tr>
      <w:tr w14:paraId="38B7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C4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FD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2B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1AD">
            <w:pPr>
              <w:jc w:val="center"/>
              <w:rPr>
                <w:rFonts w:hint="eastAsia" w:ascii="宋体" w:hAnsi="宋体" w:eastAsia="宋体" w:cs="宋体"/>
                <w:i w:val="0"/>
                <w:iCs w:val="0"/>
                <w:color w:val="auto"/>
                <w:sz w:val="20"/>
                <w:szCs w:val="20"/>
                <w:u w:val="none"/>
              </w:rPr>
            </w:pPr>
          </w:p>
        </w:tc>
      </w:tr>
      <w:tr w14:paraId="4D12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01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FE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51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6B69">
            <w:pPr>
              <w:jc w:val="center"/>
              <w:rPr>
                <w:rFonts w:hint="eastAsia" w:ascii="宋体" w:hAnsi="宋体" w:eastAsia="宋体" w:cs="宋体"/>
                <w:i w:val="0"/>
                <w:iCs w:val="0"/>
                <w:color w:val="auto"/>
                <w:sz w:val="20"/>
                <w:szCs w:val="20"/>
                <w:u w:val="none"/>
              </w:rPr>
            </w:pPr>
          </w:p>
        </w:tc>
      </w:tr>
      <w:tr w14:paraId="7C05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773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15</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2B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18"/>
              </w:rPr>
              <w:t>糖化血红蛋白</w:t>
            </w:r>
            <w:r>
              <w:rPr>
                <w:rFonts w:hint="eastAsia"/>
                <w:sz w:val="20"/>
                <w:szCs w:val="18"/>
              </w:rPr>
              <w:tab/>
            </w:r>
            <w:r>
              <w:rPr>
                <w:rFonts w:hint="eastAsia"/>
                <w:sz w:val="20"/>
                <w:szCs w:val="18"/>
              </w:rPr>
              <w:t>人体血液中红细胞内的血红蛋白与血糖结合的产物，反映近8一12周的血糖水平。</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7FF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sz w:val="20"/>
                <w:szCs w:val="18"/>
              </w:rPr>
              <w:t>糖化血红蛋白</w:t>
            </w:r>
            <w:r>
              <w:rPr>
                <w:rFonts w:hint="eastAsia"/>
                <w:sz w:val="20"/>
                <w:szCs w:val="18"/>
              </w:rPr>
              <w:tab/>
            </w:r>
            <w:r>
              <w:rPr>
                <w:rFonts w:hint="eastAsia"/>
                <w:sz w:val="20"/>
                <w:szCs w:val="18"/>
              </w:rPr>
              <w:t>人体血液中红细胞内的血红蛋白与血糖结合的产物，反映近8一12周的血糖水平。</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9E1">
            <w:pPr>
              <w:jc w:val="center"/>
              <w:rPr>
                <w:rFonts w:hint="eastAsia" w:ascii="宋体" w:hAnsi="宋体" w:eastAsia="宋体" w:cs="宋体"/>
                <w:i w:val="0"/>
                <w:iCs w:val="0"/>
                <w:color w:val="auto"/>
                <w:sz w:val="20"/>
                <w:szCs w:val="20"/>
                <w:u w:val="none"/>
              </w:rPr>
            </w:pPr>
          </w:p>
        </w:tc>
      </w:tr>
      <w:tr w14:paraId="0CF8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D08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16</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EC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甲功三项</w:t>
            </w:r>
            <w:r>
              <w:rPr>
                <w:rFonts w:hint="eastAsia" w:ascii="宋体" w:hAnsi="宋体" w:cs="宋体"/>
                <w:i w:val="0"/>
                <w:iCs w:val="0"/>
                <w:color w:val="auto"/>
                <w:kern w:val="0"/>
                <w:sz w:val="20"/>
                <w:szCs w:val="20"/>
                <w:u w:val="none"/>
                <w:lang w:val="en-US" w:eastAsia="zh-CN" w:bidi="ar"/>
              </w:rPr>
              <w:t>（游离三碘甲状腺原氨酸 FT3、游离甲状腺素 FT4、促甲状腺素TSH）</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51ED">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z w:val="20"/>
                <w:szCs w:val="20"/>
                <w:u w:val="none"/>
              </w:rPr>
              <w:t>甲状腺功能判定,甲亢或者甲低等甲状腺功性能疾病的判断。了解甲状腺分泌功能及免疫状状况，检查是否有甲状腺功能亢进或减退、炎症，也用于治疗过程中激素水平的监测和疗效评估。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15FB">
            <w:pPr>
              <w:jc w:val="center"/>
              <w:rPr>
                <w:rFonts w:hint="eastAsia" w:ascii="宋体" w:hAnsi="宋体" w:eastAsia="宋体" w:cs="宋体"/>
                <w:i w:val="0"/>
                <w:iCs w:val="0"/>
                <w:color w:val="auto"/>
                <w:sz w:val="20"/>
                <w:szCs w:val="20"/>
                <w:u w:val="none"/>
              </w:rPr>
            </w:pPr>
          </w:p>
        </w:tc>
      </w:tr>
      <w:tr w14:paraId="5CCD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8AC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17</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00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AA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06E0">
            <w:pPr>
              <w:jc w:val="center"/>
              <w:rPr>
                <w:rFonts w:hint="eastAsia" w:ascii="宋体" w:hAnsi="宋体" w:eastAsia="宋体" w:cs="宋体"/>
                <w:i w:val="0"/>
                <w:iCs w:val="0"/>
                <w:color w:val="auto"/>
                <w:sz w:val="20"/>
                <w:szCs w:val="20"/>
                <w:u w:val="none"/>
              </w:rPr>
            </w:pPr>
          </w:p>
        </w:tc>
      </w:tr>
      <w:tr w14:paraId="7C78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7091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018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3C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D23A">
            <w:pPr>
              <w:jc w:val="center"/>
              <w:rPr>
                <w:rFonts w:hint="eastAsia" w:ascii="宋体" w:hAnsi="宋体" w:eastAsia="宋体" w:cs="宋体"/>
                <w:i w:val="0"/>
                <w:iCs w:val="0"/>
                <w:color w:val="auto"/>
                <w:sz w:val="20"/>
                <w:szCs w:val="20"/>
                <w:u w:val="none"/>
              </w:rPr>
            </w:pPr>
          </w:p>
        </w:tc>
      </w:tr>
      <w:tr w14:paraId="0F2D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75F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19</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8D9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7D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5BBF">
            <w:pPr>
              <w:jc w:val="center"/>
              <w:rPr>
                <w:rFonts w:hint="eastAsia" w:ascii="宋体" w:hAnsi="宋体" w:eastAsia="宋体" w:cs="宋体"/>
                <w:i w:val="0"/>
                <w:iCs w:val="0"/>
                <w:color w:val="auto"/>
                <w:sz w:val="20"/>
                <w:szCs w:val="20"/>
                <w:u w:val="none"/>
              </w:rPr>
            </w:pPr>
          </w:p>
        </w:tc>
      </w:tr>
      <w:tr w14:paraId="1672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B93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20</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A52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C0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89C8">
            <w:pPr>
              <w:jc w:val="center"/>
              <w:rPr>
                <w:rFonts w:hint="eastAsia" w:ascii="宋体" w:hAnsi="宋体" w:eastAsia="宋体" w:cs="宋体"/>
                <w:i w:val="0"/>
                <w:iCs w:val="0"/>
                <w:color w:val="auto"/>
                <w:sz w:val="20"/>
                <w:szCs w:val="20"/>
                <w:u w:val="none"/>
              </w:rPr>
            </w:pPr>
          </w:p>
        </w:tc>
      </w:tr>
      <w:tr w14:paraId="79B4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827D">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21</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BE0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50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C709">
            <w:pPr>
              <w:jc w:val="center"/>
              <w:rPr>
                <w:rFonts w:hint="eastAsia" w:ascii="宋体" w:hAnsi="宋体" w:eastAsia="宋体" w:cs="宋体"/>
                <w:i w:val="0"/>
                <w:iCs w:val="0"/>
                <w:color w:val="auto"/>
                <w:sz w:val="20"/>
                <w:szCs w:val="20"/>
                <w:u w:val="none"/>
              </w:rPr>
            </w:pPr>
          </w:p>
        </w:tc>
      </w:tr>
      <w:tr w14:paraId="2581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3AC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22</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5DD4">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sz w:val="18"/>
                <w:szCs w:val="16"/>
              </w:rPr>
              <w:t>消化系统肿瘤筛查二项（糖类抗原72-4、糖类抗原19-9）</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3CD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bookmarkStart w:id="3" w:name="_GoBack"/>
            <w:bookmarkEnd w:id="3"/>
            <w:r>
              <w:rPr>
                <w:rFonts w:hint="eastAsia"/>
                <w:sz w:val="18"/>
                <w:szCs w:val="16"/>
              </w:rPr>
              <w:t>用于消化道肿瘤（胃癌、胰腺癌等）的诊断筛查。</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9B83">
            <w:pPr>
              <w:jc w:val="center"/>
              <w:rPr>
                <w:rFonts w:hint="eastAsia" w:ascii="宋体" w:hAnsi="宋体" w:eastAsia="宋体" w:cs="宋体"/>
                <w:i w:val="0"/>
                <w:iCs w:val="0"/>
                <w:color w:val="auto"/>
                <w:sz w:val="20"/>
                <w:szCs w:val="20"/>
                <w:u w:val="none"/>
              </w:rPr>
            </w:pPr>
          </w:p>
        </w:tc>
      </w:tr>
      <w:tr w14:paraId="1E9F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8293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F8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DE14">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AB09">
            <w:pPr>
              <w:jc w:val="center"/>
              <w:rPr>
                <w:rFonts w:hint="eastAsia" w:ascii="宋体" w:hAnsi="宋体" w:eastAsia="宋体" w:cs="宋体"/>
                <w:i w:val="0"/>
                <w:iCs w:val="0"/>
                <w:color w:val="auto"/>
                <w:sz w:val="20"/>
                <w:szCs w:val="20"/>
                <w:u w:val="none"/>
              </w:rPr>
            </w:pPr>
          </w:p>
        </w:tc>
      </w:tr>
      <w:tr w14:paraId="58B0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32E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F1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B093">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461">
            <w:pPr>
              <w:jc w:val="center"/>
              <w:rPr>
                <w:rFonts w:hint="eastAsia" w:ascii="宋体" w:hAnsi="宋体" w:eastAsia="宋体" w:cs="宋体"/>
                <w:i w:val="0"/>
                <w:iCs w:val="0"/>
                <w:color w:val="auto"/>
                <w:sz w:val="20"/>
                <w:szCs w:val="20"/>
                <w:u w:val="none"/>
              </w:rPr>
            </w:pPr>
          </w:p>
        </w:tc>
      </w:tr>
      <w:tr w14:paraId="0857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A38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85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47AD">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5EDF">
            <w:pPr>
              <w:jc w:val="center"/>
              <w:rPr>
                <w:rFonts w:hint="eastAsia" w:ascii="宋体" w:hAnsi="宋体" w:eastAsia="宋体" w:cs="宋体"/>
                <w:i w:val="0"/>
                <w:iCs w:val="0"/>
                <w:color w:val="auto"/>
                <w:sz w:val="20"/>
                <w:szCs w:val="20"/>
                <w:u w:val="none"/>
              </w:rPr>
            </w:pPr>
          </w:p>
        </w:tc>
      </w:tr>
      <w:tr w14:paraId="49AB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77A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4D3C">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9AFB">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1037">
            <w:pPr>
              <w:jc w:val="center"/>
              <w:rPr>
                <w:rFonts w:hint="eastAsia" w:ascii="宋体" w:hAnsi="宋体" w:eastAsia="宋体" w:cs="宋体"/>
                <w:i w:val="0"/>
                <w:iCs w:val="0"/>
                <w:color w:val="auto"/>
                <w:sz w:val="20"/>
                <w:szCs w:val="20"/>
                <w:u w:val="none"/>
              </w:rPr>
            </w:pPr>
          </w:p>
        </w:tc>
      </w:tr>
      <w:tr w14:paraId="0266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3BF2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7</w:t>
            </w:r>
          </w:p>
        </w:tc>
        <w:tc>
          <w:tcPr>
            <w:tcW w:w="2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19CC">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53ED">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05B7">
            <w:pPr>
              <w:jc w:val="center"/>
              <w:rPr>
                <w:rFonts w:hint="eastAsia" w:ascii="宋体" w:hAnsi="宋体" w:eastAsia="宋体" w:cs="宋体"/>
                <w:i w:val="0"/>
                <w:iCs w:val="0"/>
                <w:color w:val="auto"/>
                <w:sz w:val="20"/>
                <w:szCs w:val="20"/>
                <w:u w:val="none"/>
              </w:rPr>
            </w:pPr>
          </w:p>
        </w:tc>
      </w:tr>
      <w:tr w14:paraId="5B46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3FF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5912">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1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FCE6">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72CD2">
            <w:pPr>
              <w:rPr>
                <w:rFonts w:hint="eastAsia" w:ascii="宋体" w:hAnsi="宋体" w:eastAsia="宋体" w:cs="宋体"/>
                <w:i w:val="0"/>
                <w:iCs w:val="0"/>
                <w:color w:val="auto"/>
                <w:sz w:val="22"/>
                <w:szCs w:val="22"/>
                <w:u w:val="none"/>
              </w:rPr>
            </w:pPr>
          </w:p>
        </w:tc>
      </w:tr>
    </w:tbl>
    <w:p w14:paraId="62B49E08">
      <w:pPr>
        <w:widowControl/>
        <w:spacing w:line="520" w:lineRule="exact"/>
        <w:ind w:firstLine="560"/>
        <w:textAlignment w:val="center"/>
        <w:rPr>
          <w:rFonts w:hint="eastAsia" w:ascii="宋体" w:hAnsi="宋体" w:eastAsia="宋体"/>
          <w:color w:val="auto"/>
          <w:kern w:val="0"/>
          <w:sz w:val="28"/>
        </w:rPr>
      </w:pPr>
    </w:p>
    <w:p w14:paraId="04A2F548">
      <w:pPr>
        <w:widowControl/>
        <w:numPr>
          <w:ilvl w:val="0"/>
          <w:numId w:val="0"/>
        </w:numPr>
        <w:spacing w:line="520" w:lineRule="exact"/>
        <w:ind w:leftChars="0"/>
        <w:textAlignment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以上（一）至（三）项体检报价总数：</w:t>
      </w:r>
      <w:r>
        <w:rPr>
          <w:rFonts w:hint="eastAsia" w:ascii="宋体" w:hAnsi="宋体" w:cs="宋体"/>
          <w:b/>
          <w:bCs/>
          <w:kern w:val="0"/>
          <w:sz w:val="28"/>
          <w:szCs w:val="28"/>
          <w:lang w:val="en-US" w:eastAsia="zh-CN"/>
        </w:rPr>
        <w:t xml:space="preserve">         </w:t>
      </w:r>
      <w:r>
        <w:rPr>
          <w:rFonts w:hint="eastAsia" w:ascii="宋体" w:hAnsi="宋体" w:eastAsia="宋体" w:cs="宋体"/>
          <w:b/>
          <w:bCs/>
          <w:kern w:val="0"/>
          <w:sz w:val="28"/>
          <w:szCs w:val="28"/>
          <w:lang w:val="en-US" w:eastAsia="zh-CN"/>
        </w:rPr>
        <w:t>（大写：</w:t>
      </w:r>
      <w:r>
        <w:rPr>
          <w:rFonts w:hint="eastAsia" w:ascii="宋体" w:hAnsi="宋体" w:cs="宋体"/>
          <w:b/>
          <w:bCs/>
          <w:kern w:val="0"/>
          <w:sz w:val="28"/>
          <w:szCs w:val="28"/>
          <w:lang w:val="en-US" w:eastAsia="zh-CN"/>
        </w:rPr>
        <w:t xml:space="preserve">     </w:t>
      </w:r>
      <w:r>
        <w:rPr>
          <w:rFonts w:hint="eastAsia" w:ascii="宋体" w:hAnsi="宋体" w:eastAsia="宋体" w:cs="宋体"/>
          <w:b/>
          <w:bCs/>
          <w:kern w:val="0"/>
          <w:sz w:val="28"/>
          <w:szCs w:val="28"/>
          <w:lang w:val="en-US" w:eastAsia="zh-CN"/>
        </w:rPr>
        <w:t>）。</w:t>
      </w:r>
    </w:p>
    <w:p w14:paraId="1A0E72AD">
      <w:pP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br w:type="page"/>
      </w:r>
    </w:p>
    <w:p w14:paraId="758B0987">
      <w:pP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kern w:val="0"/>
          <w:sz w:val="28"/>
          <w:szCs w:val="28"/>
        </w:rPr>
        <w:t>职工住宿、餐饮</w:t>
      </w:r>
      <w:r>
        <w:rPr>
          <w:rFonts w:hint="eastAsia" w:ascii="宋体" w:hAnsi="宋体" w:eastAsia="宋体" w:cs="宋体"/>
          <w:b/>
          <w:bCs/>
          <w:color w:val="000000"/>
          <w:kern w:val="0"/>
          <w:sz w:val="28"/>
          <w:szCs w:val="28"/>
          <w:lang w:eastAsia="zh-CN"/>
        </w:rPr>
        <w:t>报</w:t>
      </w:r>
      <w:r>
        <w:rPr>
          <w:rFonts w:hint="eastAsia" w:ascii="宋体" w:hAnsi="宋体" w:eastAsia="宋体" w:cs="宋体"/>
          <w:b/>
          <w:bCs/>
          <w:color w:val="000000"/>
          <w:kern w:val="0"/>
          <w:sz w:val="28"/>
          <w:szCs w:val="28"/>
        </w:rPr>
        <w:t>价表</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单位:元</w:t>
      </w:r>
    </w:p>
    <w:tbl>
      <w:tblPr>
        <w:tblStyle w:val="7"/>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161"/>
        <w:gridCol w:w="966"/>
        <w:gridCol w:w="1351"/>
        <w:gridCol w:w="5203"/>
      </w:tblGrid>
      <w:tr w14:paraId="12AA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05" w:type="dxa"/>
            <w:noWrap w:val="0"/>
            <w:vAlign w:val="center"/>
          </w:tcPr>
          <w:p w14:paraId="6FB58E21">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内 容</w:t>
            </w:r>
          </w:p>
        </w:tc>
        <w:tc>
          <w:tcPr>
            <w:tcW w:w="1161" w:type="dxa"/>
            <w:noWrap w:val="0"/>
            <w:vAlign w:val="center"/>
          </w:tcPr>
          <w:p w14:paraId="7AC3B00B">
            <w:pPr>
              <w:jc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sz w:val="20"/>
                <w:szCs w:val="20"/>
              </w:rPr>
              <w:t>人 数</w:t>
            </w:r>
          </w:p>
        </w:tc>
        <w:tc>
          <w:tcPr>
            <w:tcW w:w="966" w:type="dxa"/>
            <w:noWrap w:val="0"/>
            <w:vAlign w:val="center"/>
          </w:tcPr>
          <w:p w14:paraId="5923D428">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 价</w:t>
            </w:r>
          </w:p>
        </w:tc>
        <w:tc>
          <w:tcPr>
            <w:tcW w:w="1351" w:type="dxa"/>
            <w:noWrap w:val="0"/>
            <w:vAlign w:val="center"/>
          </w:tcPr>
          <w:p w14:paraId="4EB4F90E">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小  计</w:t>
            </w:r>
          </w:p>
        </w:tc>
        <w:tc>
          <w:tcPr>
            <w:tcW w:w="5203" w:type="dxa"/>
            <w:noWrap w:val="0"/>
            <w:vAlign w:val="center"/>
          </w:tcPr>
          <w:p w14:paraId="0FF0D168">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备   注</w:t>
            </w:r>
          </w:p>
        </w:tc>
      </w:tr>
      <w:tr w14:paraId="173C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05" w:type="dxa"/>
            <w:noWrap w:val="0"/>
            <w:vAlign w:val="center"/>
          </w:tcPr>
          <w:p w14:paraId="1E4F3C45">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住宿费</w:t>
            </w:r>
          </w:p>
        </w:tc>
        <w:tc>
          <w:tcPr>
            <w:tcW w:w="1161" w:type="dxa"/>
            <w:noWrap w:val="0"/>
            <w:vAlign w:val="center"/>
          </w:tcPr>
          <w:p w14:paraId="7C687B79">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130</w:t>
            </w:r>
          </w:p>
        </w:tc>
        <w:tc>
          <w:tcPr>
            <w:tcW w:w="966" w:type="dxa"/>
            <w:noWrap w:val="0"/>
            <w:vAlign w:val="center"/>
          </w:tcPr>
          <w:p w14:paraId="7B7AD0ED">
            <w:pPr>
              <w:jc w:val="center"/>
              <w:rPr>
                <w:rFonts w:hint="eastAsia" w:ascii="宋体" w:hAnsi="宋体" w:eastAsia="宋体" w:cs="宋体"/>
                <w:bCs/>
                <w:color w:val="000000"/>
                <w:sz w:val="20"/>
                <w:szCs w:val="20"/>
              </w:rPr>
            </w:pPr>
          </w:p>
        </w:tc>
        <w:tc>
          <w:tcPr>
            <w:tcW w:w="1351" w:type="dxa"/>
            <w:noWrap w:val="0"/>
            <w:vAlign w:val="center"/>
          </w:tcPr>
          <w:p w14:paraId="108E3D11">
            <w:pPr>
              <w:jc w:val="center"/>
              <w:rPr>
                <w:rFonts w:hint="eastAsia" w:ascii="宋体" w:hAnsi="宋体" w:eastAsia="宋体" w:cs="宋体"/>
                <w:bCs/>
                <w:color w:val="000000"/>
                <w:sz w:val="20"/>
                <w:szCs w:val="20"/>
              </w:rPr>
            </w:pPr>
          </w:p>
        </w:tc>
        <w:tc>
          <w:tcPr>
            <w:tcW w:w="5203" w:type="dxa"/>
            <w:noWrap w:val="0"/>
            <w:vAlign w:val="center"/>
          </w:tcPr>
          <w:p w14:paraId="7C4B625B">
            <w:pPr>
              <w:jc w:val="center"/>
              <w:rPr>
                <w:rFonts w:hint="eastAsia" w:ascii="宋体" w:hAnsi="宋体" w:eastAsia="宋体" w:cs="宋体"/>
                <w:bCs/>
                <w:color w:val="000000"/>
                <w:sz w:val="20"/>
                <w:szCs w:val="20"/>
              </w:rPr>
            </w:pPr>
            <w:r>
              <w:rPr>
                <w:rFonts w:hint="eastAsia" w:ascii="宋体" w:hAnsi="宋体" w:eastAsia="宋体" w:cs="宋体"/>
                <w:color w:val="000000"/>
                <w:sz w:val="20"/>
                <w:szCs w:val="20"/>
              </w:rPr>
              <w:t>住一晚，不超 200元/人/日的标准。</w:t>
            </w:r>
          </w:p>
        </w:tc>
      </w:tr>
      <w:tr w14:paraId="1FAF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5" w:type="dxa"/>
            <w:noWrap w:val="0"/>
            <w:vAlign w:val="center"/>
          </w:tcPr>
          <w:p w14:paraId="1D6E3D95">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餐饮费</w:t>
            </w:r>
          </w:p>
        </w:tc>
        <w:tc>
          <w:tcPr>
            <w:tcW w:w="1161" w:type="dxa"/>
            <w:noWrap w:val="0"/>
            <w:vAlign w:val="center"/>
          </w:tcPr>
          <w:p w14:paraId="16F9B1CA">
            <w:pPr>
              <w:jc w:val="center"/>
              <w:rPr>
                <w:rFonts w:hint="default" w:ascii="宋体" w:hAnsi="宋体" w:eastAsia="宋体" w:cs="宋体"/>
                <w:bCs/>
                <w:color w:val="000000"/>
                <w:sz w:val="20"/>
                <w:szCs w:val="20"/>
                <w:lang w:val="en-US" w:eastAsia="zh-CN"/>
              </w:rPr>
            </w:pPr>
            <w:r>
              <w:rPr>
                <w:rFonts w:hint="eastAsia" w:ascii="宋体" w:hAnsi="宋体" w:cs="宋体"/>
                <w:bCs/>
                <w:color w:val="000000"/>
                <w:sz w:val="20"/>
                <w:szCs w:val="20"/>
                <w:lang w:val="en-US" w:eastAsia="zh-CN"/>
              </w:rPr>
              <w:t>130</w:t>
            </w:r>
          </w:p>
        </w:tc>
        <w:tc>
          <w:tcPr>
            <w:tcW w:w="966" w:type="dxa"/>
            <w:noWrap w:val="0"/>
            <w:vAlign w:val="center"/>
          </w:tcPr>
          <w:p w14:paraId="08A6F31E">
            <w:pPr>
              <w:jc w:val="center"/>
              <w:rPr>
                <w:rFonts w:hint="eastAsia" w:ascii="宋体" w:hAnsi="宋体" w:eastAsia="宋体" w:cs="宋体"/>
                <w:bCs/>
                <w:color w:val="000000"/>
                <w:sz w:val="20"/>
                <w:szCs w:val="20"/>
              </w:rPr>
            </w:pPr>
          </w:p>
        </w:tc>
        <w:tc>
          <w:tcPr>
            <w:tcW w:w="1351" w:type="dxa"/>
            <w:noWrap w:val="0"/>
            <w:vAlign w:val="center"/>
          </w:tcPr>
          <w:p w14:paraId="236CA36E">
            <w:pPr>
              <w:jc w:val="center"/>
              <w:rPr>
                <w:rFonts w:hint="eastAsia" w:ascii="宋体" w:hAnsi="宋体" w:eastAsia="宋体" w:cs="宋体"/>
                <w:bCs/>
                <w:color w:val="000000"/>
                <w:sz w:val="20"/>
                <w:szCs w:val="20"/>
              </w:rPr>
            </w:pPr>
          </w:p>
        </w:tc>
        <w:tc>
          <w:tcPr>
            <w:tcW w:w="5203" w:type="dxa"/>
            <w:noWrap w:val="0"/>
            <w:vAlign w:val="center"/>
          </w:tcPr>
          <w:p w14:paraId="46E7C2F7">
            <w:pPr>
              <w:jc w:val="center"/>
              <w:rPr>
                <w:rFonts w:hint="eastAsia" w:ascii="宋体" w:hAnsi="宋体" w:eastAsia="宋体" w:cs="宋体"/>
                <w:bCs/>
                <w:color w:val="000000"/>
                <w:sz w:val="20"/>
                <w:szCs w:val="20"/>
                <w:lang w:eastAsia="zh-CN"/>
              </w:rPr>
            </w:pPr>
            <w:r>
              <w:rPr>
                <w:rFonts w:hint="eastAsia" w:ascii="宋体" w:hAnsi="宋体" w:eastAsia="宋体" w:cs="宋体"/>
                <w:color w:val="000000"/>
                <w:sz w:val="20"/>
                <w:szCs w:val="20"/>
              </w:rPr>
              <w:t>三个正餐一个早餐，正餐围餐，不超140元/人的标准</w:t>
            </w:r>
            <w:r>
              <w:rPr>
                <w:rFonts w:hint="eastAsia" w:ascii="宋体" w:hAnsi="宋体" w:cs="宋体"/>
                <w:color w:val="000000"/>
                <w:sz w:val="20"/>
                <w:szCs w:val="20"/>
                <w:lang w:eastAsia="zh-CN"/>
              </w:rPr>
              <w:t>。</w:t>
            </w:r>
          </w:p>
        </w:tc>
      </w:tr>
      <w:tr w14:paraId="40C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05" w:type="dxa"/>
            <w:noWrap w:val="0"/>
            <w:vAlign w:val="center"/>
          </w:tcPr>
          <w:p w14:paraId="3725B2DC">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161" w:type="dxa"/>
            <w:noWrap w:val="0"/>
            <w:vAlign w:val="center"/>
          </w:tcPr>
          <w:p w14:paraId="7FD5884D">
            <w:pPr>
              <w:jc w:val="center"/>
              <w:rPr>
                <w:rFonts w:hint="eastAsia" w:ascii="宋体" w:hAnsi="宋体" w:eastAsia="宋体" w:cs="宋体"/>
                <w:b/>
                <w:bCs/>
                <w:color w:val="000000"/>
                <w:sz w:val="20"/>
                <w:szCs w:val="20"/>
              </w:rPr>
            </w:pPr>
          </w:p>
        </w:tc>
        <w:tc>
          <w:tcPr>
            <w:tcW w:w="966" w:type="dxa"/>
            <w:noWrap w:val="0"/>
            <w:vAlign w:val="center"/>
          </w:tcPr>
          <w:p w14:paraId="2F22C0B5">
            <w:pPr>
              <w:jc w:val="center"/>
              <w:rPr>
                <w:rFonts w:hint="eastAsia" w:ascii="宋体" w:hAnsi="宋体" w:eastAsia="宋体" w:cs="宋体"/>
                <w:b/>
                <w:bCs/>
                <w:color w:val="000000"/>
                <w:sz w:val="20"/>
                <w:szCs w:val="20"/>
              </w:rPr>
            </w:pPr>
          </w:p>
        </w:tc>
        <w:tc>
          <w:tcPr>
            <w:tcW w:w="1351" w:type="dxa"/>
            <w:noWrap w:val="0"/>
            <w:vAlign w:val="center"/>
          </w:tcPr>
          <w:p w14:paraId="3CDF3E57">
            <w:pPr>
              <w:jc w:val="center"/>
              <w:rPr>
                <w:rFonts w:hint="eastAsia" w:ascii="宋体" w:hAnsi="宋体" w:eastAsia="宋体" w:cs="宋体"/>
                <w:bCs/>
                <w:color w:val="000000"/>
                <w:sz w:val="20"/>
                <w:szCs w:val="20"/>
              </w:rPr>
            </w:pPr>
          </w:p>
        </w:tc>
        <w:tc>
          <w:tcPr>
            <w:tcW w:w="5203" w:type="dxa"/>
            <w:noWrap w:val="0"/>
            <w:vAlign w:val="center"/>
          </w:tcPr>
          <w:p w14:paraId="473D8EE1">
            <w:pPr>
              <w:jc w:val="center"/>
              <w:rPr>
                <w:rFonts w:hint="eastAsia" w:ascii="宋体" w:hAnsi="宋体" w:eastAsia="宋体" w:cs="宋体"/>
                <w:bCs/>
                <w:color w:val="000000"/>
                <w:sz w:val="20"/>
                <w:szCs w:val="20"/>
              </w:rPr>
            </w:pPr>
          </w:p>
        </w:tc>
      </w:tr>
    </w:tbl>
    <w:p w14:paraId="6B136D8E">
      <w:pPr>
        <w:widowControl/>
        <w:spacing w:line="520" w:lineRule="exact"/>
        <w:textAlignment w:val="center"/>
        <w:rPr>
          <w:rFonts w:hint="eastAsia" w:ascii="宋体" w:hAnsi="宋体" w:eastAsia="宋体" w:cs="宋体"/>
          <w:color w:val="000000"/>
          <w:kern w:val="0"/>
        </w:rPr>
      </w:pPr>
    </w:p>
    <w:p w14:paraId="39882C89">
      <w:pPr>
        <w:rPr>
          <w:rFonts w:hint="eastAsia" w:ascii="宋体" w:hAnsi="宋体" w:eastAsia="宋体" w:cs="宋体"/>
          <w:b/>
          <w:bCs/>
          <w:color w:val="000000"/>
          <w:szCs w:val="32"/>
        </w:rPr>
      </w:pPr>
      <w:r>
        <w:rPr>
          <w:rFonts w:hint="eastAsia" w:ascii="宋体" w:hAnsi="宋体" w:eastAsia="宋体" w:cs="宋体"/>
          <w:b/>
          <w:bCs/>
          <w:color w:val="000000"/>
          <w:sz w:val="28"/>
          <w:szCs w:val="28"/>
          <w:lang w:val="en-US" w:eastAsia="zh-CN"/>
        </w:rPr>
        <w:t>（五）交通</w:t>
      </w:r>
      <w:r>
        <w:rPr>
          <w:rFonts w:hint="eastAsia" w:ascii="宋体" w:hAnsi="宋体" w:eastAsia="宋体" w:cs="宋体"/>
          <w:b/>
          <w:bCs/>
          <w:color w:val="000000"/>
          <w:kern w:val="0"/>
          <w:sz w:val="28"/>
          <w:szCs w:val="28"/>
          <w:lang w:eastAsia="zh-CN"/>
        </w:rPr>
        <w:t>报</w:t>
      </w:r>
      <w:r>
        <w:rPr>
          <w:rFonts w:hint="eastAsia" w:ascii="宋体" w:hAnsi="宋体" w:eastAsia="宋体" w:cs="宋体"/>
          <w:b/>
          <w:bCs/>
          <w:color w:val="000000"/>
          <w:kern w:val="0"/>
          <w:sz w:val="28"/>
          <w:szCs w:val="28"/>
        </w:rPr>
        <w:t xml:space="preserve">价表 </w:t>
      </w:r>
      <w:r>
        <w:rPr>
          <w:rFonts w:hint="eastAsia" w:ascii="宋体" w:hAnsi="宋体" w:eastAsia="宋体" w:cs="宋体"/>
          <w:b/>
          <w:bCs/>
          <w:color w:val="000000"/>
          <w:kern w:val="0"/>
          <w:sz w:val="28"/>
        </w:rPr>
        <w:t xml:space="preserve">                  </w:t>
      </w:r>
      <w:r>
        <w:rPr>
          <w:rFonts w:hint="eastAsia" w:ascii="宋体" w:hAnsi="宋体" w:cs="宋体"/>
          <w:b/>
          <w:bCs/>
          <w:color w:val="000000"/>
          <w:kern w:val="0"/>
          <w:sz w:val="28"/>
          <w:lang w:val="en-US" w:eastAsia="zh-CN"/>
        </w:rPr>
        <w:t xml:space="preserve">                    </w:t>
      </w:r>
      <w:r>
        <w:rPr>
          <w:rFonts w:hint="eastAsia" w:ascii="宋体" w:hAnsi="宋体" w:eastAsia="宋体" w:cs="宋体"/>
          <w:b/>
          <w:bCs/>
          <w:color w:val="000000"/>
          <w:kern w:val="0"/>
          <w:sz w:val="28"/>
        </w:rPr>
        <w:t>单位:元</w:t>
      </w:r>
    </w:p>
    <w:tbl>
      <w:tblPr>
        <w:tblStyle w:val="7"/>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1100"/>
        <w:gridCol w:w="1170"/>
        <w:gridCol w:w="1341"/>
        <w:gridCol w:w="3059"/>
      </w:tblGrid>
      <w:tr w14:paraId="68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65" w:type="dxa"/>
            <w:noWrap w:val="0"/>
            <w:vAlign w:val="center"/>
          </w:tcPr>
          <w:p w14:paraId="41E094BD">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内 容</w:t>
            </w:r>
          </w:p>
        </w:tc>
        <w:tc>
          <w:tcPr>
            <w:tcW w:w="1100" w:type="dxa"/>
            <w:noWrap w:val="0"/>
            <w:vAlign w:val="center"/>
          </w:tcPr>
          <w:p w14:paraId="0A9CFC23">
            <w:pPr>
              <w:jc w:val="center"/>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辆</w:t>
            </w:r>
          </w:p>
        </w:tc>
        <w:tc>
          <w:tcPr>
            <w:tcW w:w="1170" w:type="dxa"/>
            <w:noWrap w:val="0"/>
            <w:vAlign w:val="center"/>
          </w:tcPr>
          <w:p w14:paraId="0967A93B">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单 价</w:t>
            </w:r>
          </w:p>
        </w:tc>
        <w:tc>
          <w:tcPr>
            <w:tcW w:w="1341" w:type="dxa"/>
            <w:noWrap w:val="0"/>
            <w:vAlign w:val="center"/>
          </w:tcPr>
          <w:p w14:paraId="18DB1436">
            <w:pPr>
              <w:jc w:val="center"/>
              <w:rPr>
                <w:rFonts w:hint="eastAsia"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小 计</w:t>
            </w:r>
          </w:p>
        </w:tc>
        <w:tc>
          <w:tcPr>
            <w:tcW w:w="3059" w:type="dxa"/>
            <w:noWrap w:val="0"/>
            <w:vAlign w:val="center"/>
          </w:tcPr>
          <w:p w14:paraId="2D6EFF92">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备   注</w:t>
            </w:r>
          </w:p>
        </w:tc>
      </w:tr>
      <w:tr w14:paraId="3D04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65" w:type="dxa"/>
            <w:noWrap w:val="0"/>
            <w:vAlign w:val="center"/>
          </w:tcPr>
          <w:p w14:paraId="6D234506">
            <w:pPr>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40座以上大型客车</w:t>
            </w:r>
          </w:p>
        </w:tc>
        <w:tc>
          <w:tcPr>
            <w:tcW w:w="1100" w:type="dxa"/>
            <w:noWrap w:val="0"/>
            <w:vAlign w:val="center"/>
          </w:tcPr>
          <w:p w14:paraId="280E68F6">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4</w:t>
            </w:r>
          </w:p>
        </w:tc>
        <w:tc>
          <w:tcPr>
            <w:tcW w:w="1170" w:type="dxa"/>
            <w:noWrap w:val="0"/>
            <w:vAlign w:val="center"/>
          </w:tcPr>
          <w:p w14:paraId="008ACB9C">
            <w:pPr>
              <w:jc w:val="center"/>
              <w:rPr>
                <w:rFonts w:hint="eastAsia" w:ascii="宋体" w:hAnsi="宋体" w:eastAsia="宋体" w:cs="宋体"/>
                <w:bCs/>
                <w:color w:val="auto"/>
                <w:sz w:val="22"/>
                <w:szCs w:val="22"/>
              </w:rPr>
            </w:pPr>
          </w:p>
        </w:tc>
        <w:tc>
          <w:tcPr>
            <w:tcW w:w="1341" w:type="dxa"/>
            <w:noWrap w:val="0"/>
            <w:vAlign w:val="center"/>
          </w:tcPr>
          <w:p w14:paraId="7CB93E47">
            <w:pPr>
              <w:jc w:val="center"/>
              <w:rPr>
                <w:rFonts w:hint="eastAsia" w:ascii="宋体" w:hAnsi="宋体" w:eastAsia="宋体" w:cs="宋体"/>
                <w:bCs/>
                <w:color w:val="auto"/>
                <w:sz w:val="22"/>
                <w:szCs w:val="22"/>
              </w:rPr>
            </w:pPr>
          </w:p>
        </w:tc>
        <w:tc>
          <w:tcPr>
            <w:tcW w:w="3059" w:type="dxa"/>
            <w:noWrap w:val="0"/>
            <w:vAlign w:val="center"/>
          </w:tcPr>
          <w:p w14:paraId="7F2BBC1C">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不超1400元/日/辆的标准</w:t>
            </w:r>
          </w:p>
        </w:tc>
      </w:tr>
      <w:tr w14:paraId="32AD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365" w:type="dxa"/>
            <w:noWrap w:val="0"/>
            <w:vAlign w:val="center"/>
          </w:tcPr>
          <w:p w14:paraId="749103C9">
            <w:pPr>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10-25座中型客车</w:t>
            </w:r>
          </w:p>
        </w:tc>
        <w:tc>
          <w:tcPr>
            <w:tcW w:w="1100" w:type="dxa"/>
            <w:noWrap w:val="0"/>
            <w:vAlign w:val="center"/>
          </w:tcPr>
          <w:p w14:paraId="212F257A">
            <w:pPr>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2</w:t>
            </w:r>
          </w:p>
        </w:tc>
        <w:tc>
          <w:tcPr>
            <w:tcW w:w="1170" w:type="dxa"/>
            <w:noWrap w:val="0"/>
            <w:vAlign w:val="center"/>
          </w:tcPr>
          <w:p w14:paraId="3FB744DD">
            <w:pPr>
              <w:jc w:val="center"/>
              <w:rPr>
                <w:rFonts w:hint="eastAsia" w:ascii="宋体" w:hAnsi="宋体" w:eastAsia="宋体" w:cs="宋体"/>
                <w:bCs/>
                <w:color w:val="auto"/>
                <w:sz w:val="22"/>
                <w:szCs w:val="22"/>
              </w:rPr>
            </w:pPr>
          </w:p>
        </w:tc>
        <w:tc>
          <w:tcPr>
            <w:tcW w:w="1341" w:type="dxa"/>
            <w:noWrap w:val="0"/>
            <w:vAlign w:val="center"/>
          </w:tcPr>
          <w:p w14:paraId="66125ACA">
            <w:pPr>
              <w:jc w:val="center"/>
              <w:rPr>
                <w:rFonts w:hint="eastAsia" w:ascii="宋体" w:hAnsi="宋体" w:eastAsia="宋体" w:cs="宋体"/>
                <w:bCs/>
                <w:color w:val="auto"/>
                <w:sz w:val="22"/>
                <w:szCs w:val="22"/>
              </w:rPr>
            </w:pPr>
          </w:p>
        </w:tc>
        <w:tc>
          <w:tcPr>
            <w:tcW w:w="3059" w:type="dxa"/>
            <w:noWrap w:val="0"/>
            <w:vAlign w:val="center"/>
          </w:tcPr>
          <w:p w14:paraId="57EBBB22">
            <w:pPr>
              <w:jc w:val="center"/>
              <w:rPr>
                <w:rFonts w:hint="eastAsia" w:ascii="宋体" w:hAnsi="宋体" w:eastAsia="宋体" w:cs="宋体"/>
                <w:bCs/>
                <w:color w:val="auto"/>
                <w:sz w:val="22"/>
                <w:szCs w:val="22"/>
              </w:rPr>
            </w:pPr>
            <w:r>
              <w:rPr>
                <w:rFonts w:hint="eastAsia" w:ascii="宋体" w:hAnsi="宋体" w:cs="宋体"/>
                <w:bCs/>
                <w:color w:val="auto"/>
                <w:sz w:val="22"/>
                <w:szCs w:val="22"/>
                <w:lang w:val="en-US" w:eastAsia="zh-CN"/>
              </w:rPr>
              <w:t>不超900元/日/辆的标准</w:t>
            </w:r>
          </w:p>
        </w:tc>
      </w:tr>
      <w:tr w14:paraId="700C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65" w:type="dxa"/>
            <w:noWrap w:val="0"/>
            <w:vAlign w:val="center"/>
          </w:tcPr>
          <w:p w14:paraId="619A222C">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合计</w:t>
            </w:r>
          </w:p>
        </w:tc>
        <w:tc>
          <w:tcPr>
            <w:tcW w:w="1100" w:type="dxa"/>
            <w:noWrap w:val="0"/>
            <w:vAlign w:val="center"/>
          </w:tcPr>
          <w:p w14:paraId="64BD7552">
            <w:pPr>
              <w:jc w:val="center"/>
              <w:rPr>
                <w:rFonts w:hint="eastAsia" w:ascii="宋体" w:hAnsi="宋体" w:eastAsia="宋体" w:cs="宋体"/>
                <w:b/>
                <w:bCs/>
                <w:color w:val="auto"/>
                <w:sz w:val="22"/>
                <w:szCs w:val="22"/>
              </w:rPr>
            </w:pPr>
          </w:p>
        </w:tc>
        <w:tc>
          <w:tcPr>
            <w:tcW w:w="1170" w:type="dxa"/>
            <w:noWrap w:val="0"/>
            <w:vAlign w:val="center"/>
          </w:tcPr>
          <w:p w14:paraId="31A33E48">
            <w:pPr>
              <w:jc w:val="center"/>
              <w:rPr>
                <w:rFonts w:hint="eastAsia" w:ascii="宋体" w:hAnsi="宋体" w:eastAsia="宋体" w:cs="宋体"/>
                <w:b/>
                <w:bCs/>
                <w:color w:val="auto"/>
                <w:sz w:val="22"/>
                <w:szCs w:val="22"/>
              </w:rPr>
            </w:pPr>
          </w:p>
        </w:tc>
        <w:tc>
          <w:tcPr>
            <w:tcW w:w="1341" w:type="dxa"/>
            <w:noWrap w:val="0"/>
            <w:vAlign w:val="center"/>
          </w:tcPr>
          <w:p w14:paraId="11ADBDED">
            <w:pPr>
              <w:jc w:val="center"/>
              <w:rPr>
                <w:rFonts w:hint="eastAsia" w:ascii="宋体" w:hAnsi="宋体" w:eastAsia="宋体" w:cs="宋体"/>
                <w:b/>
                <w:bCs/>
                <w:color w:val="auto"/>
                <w:sz w:val="22"/>
                <w:szCs w:val="22"/>
              </w:rPr>
            </w:pPr>
          </w:p>
        </w:tc>
        <w:tc>
          <w:tcPr>
            <w:tcW w:w="3059" w:type="dxa"/>
            <w:noWrap w:val="0"/>
            <w:vAlign w:val="center"/>
          </w:tcPr>
          <w:p w14:paraId="36BE5FED">
            <w:pPr>
              <w:jc w:val="center"/>
              <w:rPr>
                <w:rFonts w:hint="eastAsia" w:ascii="宋体" w:hAnsi="宋体" w:eastAsia="宋体" w:cs="宋体"/>
                <w:bCs/>
                <w:color w:val="auto"/>
                <w:sz w:val="22"/>
                <w:szCs w:val="22"/>
              </w:rPr>
            </w:pPr>
          </w:p>
        </w:tc>
      </w:tr>
    </w:tbl>
    <w:p w14:paraId="18604E01">
      <w:pPr>
        <w:widowControl/>
        <w:spacing w:line="520" w:lineRule="exact"/>
        <w:textAlignment w:val="center"/>
        <w:rPr>
          <w:rFonts w:hint="eastAsia" w:ascii="宋体" w:hAnsi="宋体"/>
          <w:color w:val="auto"/>
          <w:kern w:val="0"/>
          <w:sz w:val="28"/>
          <w:lang w:eastAsia="zh-CN"/>
        </w:rPr>
      </w:pPr>
    </w:p>
    <w:p w14:paraId="57B7BD9A">
      <w:pPr>
        <w:widowControl/>
        <w:spacing w:line="520" w:lineRule="exact"/>
        <w:textAlignment w:val="center"/>
        <w:rPr>
          <w:rFonts w:hint="eastAsia" w:ascii="宋体" w:hAnsi="宋体"/>
          <w:color w:val="auto"/>
          <w:kern w:val="0"/>
          <w:sz w:val="28"/>
          <w:u w:val="none"/>
          <w:lang w:val="en-US" w:eastAsia="zh-CN"/>
        </w:rPr>
      </w:pPr>
      <w:r>
        <w:rPr>
          <w:rFonts w:hint="eastAsia" w:ascii="宋体" w:hAnsi="宋体"/>
          <w:color w:val="auto"/>
          <w:kern w:val="0"/>
          <w:sz w:val="28"/>
          <w:lang w:eastAsia="zh-CN"/>
        </w:rPr>
        <w:t>以上（一）至（五）项报价总价合计：</w:t>
      </w:r>
      <w:r>
        <w:rPr>
          <w:rFonts w:hint="eastAsia" w:ascii="宋体" w:hAnsi="宋体"/>
          <w:color w:val="auto"/>
          <w:kern w:val="0"/>
          <w:sz w:val="28"/>
          <w:u w:val="single"/>
          <w:lang w:val="en-US" w:eastAsia="zh-CN"/>
        </w:rPr>
        <w:t xml:space="preserve">         </w:t>
      </w:r>
      <w:r>
        <w:rPr>
          <w:rFonts w:hint="eastAsia" w:ascii="宋体" w:hAnsi="宋体"/>
          <w:color w:val="auto"/>
          <w:kern w:val="0"/>
          <w:sz w:val="28"/>
          <w:u w:val="none"/>
          <w:lang w:val="en-US" w:eastAsia="zh-CN"/>
        </w:rPr>
        <w:t>元（大写：</w:t>
      </w:r>
      <w:r>
        <w:rPr>
          <w:rFonts w:hint="eastAsia" w:ascii="宋体" w:hAnsi="宋体"/>
          <w:color w:val="auto"/>
          <w:kern w:val="0"/>
          <w:sz w:val="28"/>
          <w:u w:val="single"/>
          <w:lang w:val="en-US" w:eastAsia="zh-CN"/>
        </w:rPr>
        <w:t xml:space="preserve">               </w:t>
      </w:r>
      <w:r>
        <w:rPr>
          <w:rFonts w:hint="eastAsia" w:ascii="宋体" w:hAnsi="宋体"/>
          <w:color w:val="auto"/>
          <w:kern w:val="0"/>
          <w:sz w:val="28"/>
          <w:u w:val="none"/>
          <w:lang w:val="en-US" w:eastAsia="zh-CN"/>
        </w:rPr>
        <w:t>）。</w:t>
      </w:r>
    </w:p>
    <w:p w14:paraId="5C0BE516">
      <w:pPr>
        <w:widowControl/>
        <w:spacing w:line="520" w:lineRule="exact"/>
        <w:textAlignment w:val="center"/>
        <w:rPr>
          <w:rFonts w:hint="eastAsia" w:ascii="宋体" w:hAnsi="宋体"/>
          <w:color w:val="auto"/>
          <w:kern w:val="0"/>
          <w:sz w:val="28"/>
          <w:u w:val="none"/>
          <w:lang w:val="en-US" w:eastAsia="zh-CN"/>
        </w:rPr>
      </w:pPr>
    </w:p>
    <w:p w14:paraId="0E4F133F">
      <w:pPr>
        <w:widowControl/>
        <w:spacing w:line="520" w:lineRule="exact"/>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58F54218">
      <w:pPr>
        <w:widowControl/>
        <w:spacing w:line="520" w:lineRule="exact"/>
        <w:ind w:firstLine="0" w:firstLineChars="0"/>
        <w:textAlignment w:val="center"/>
        <w:rPr>
          <w:rFonts w:ascii="宋体" w:hAnsi="宋体" w:eastAsia="宋体"/>
          <w:color w:val="auto"/>
          <w:kern w:val="0"/>
        </w:rPr>
      </w:pPr>
    </w:p>
    <w:p w14:paraId="0DC174CD">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28FF12D3">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15E4EBDC">
      <w:pPr>
        <w:widowControl/>
        <w:spacing w:line="520" w:lineRule="exact"/>
        <w:ind w:firstLine="0" w:firstLineChars="0"/>
        <w:jc w:val="right"/>
        <w:textAlignment w:val="center"/>
        <w:rPr>
          <w:rFonts w:hint="eastAsia" w:ascii="宋体" w:hAnsi="宋体" w:eastAsia="宋体"/>
          <w:color w:val="auto"/>
          <w:kern w:val="0"/>
          <w:sz w:val="28"/>
        </w:rPr>
      </w:pPr>
    </w:p>
    <w:p w14:paraId="34B40D4C">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346FAA24">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68606374">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3F94BD3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14:paraId="6796DCD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14:paraId="39D44EA2">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01EEE060">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71671B8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5D9E9E42">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797CE6A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6C64237">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47ECA04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1C9A1F47">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741E32BC">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60678C9C">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08A1E4A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0D3A526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3F1A5620">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E2380D9">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41AE2D2">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42CD24E">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1D5A37F">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25AB194">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A546CA7">
      <w:pPr>
        <w:spacing w:line="540" w:lineRule="exact"/>
        <w:ind w:firstLine="560"/>
        <w:rPr>
          <w:rFonts w:hint="eastAsia" w:ascii="仿宋_GB2312" w:hAnsi="仿宋_GB2312" w:eastAsia="仿宋_GB2312" w:cs="仿宋_GB2312"/>
          <w:color w:val="auto"/>
          <w:sz w:val="32"/>
          <w:szCs w:val="32"/>
          <w:u w:val="single"/>
        </w:rPr>
      </w:pPr>
    </w:p>
    <w:p w14:paraId="59F5F30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5FC4A9DA">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7971251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362143B5">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2DFA88A5">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7B8655F8">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5A55D7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0B383A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335A5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51F6F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6A73D0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7D82A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4E8BB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542D4382">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5538DE77">
      <w:pPr>
        <w:ind w:firstLine="640"/>
        <w:rPr>
          <w:rFonts w:ascii="宋体" w:hAnsi="宋体" w:eastAsia="宋体"/>
          <w:color w:val="auto"/>
          <w:sz w:val="36"/>
          <w:szCs w:val="22"/>
        </w:rPr>
      </w:pPr>
    </w:p>
    <w:p w14:paraId="4D3DEF69">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3656C64D">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4E52AD3D">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059423DE">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1DA46B87">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3E054AB1">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7A9BA896">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2D96610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61D16BC2">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56080917">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3E995755">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2B1C2A18">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7B976C55">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67FF3284">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0D470D44">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411A4EBF">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6D63A274">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7CECF75A">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1065410F">
      <w:pPr>
        <w:spacing w:line="360" w:lineRule="auto"/>
        <w:ind w:firstLine="560"/>
        <w:rPr>
          <w:rFonts w:ascii="宋体" w:hAnsi="宋体" w:eastAsia="宋体"/>
          <w:color w:val="auto"/>
          <w:sz w:val="28"/>
        </w:rPr>
      </w:pPr>
    </w:p>
    <w:p w14:paraId="20E548B6">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7D5CB4CB">
      <w:pPr>
        <w:spacing w:line="360" w:lineRule="auto"/>
        <w:ind w:firstLine="560"/>
        <w:rPr>
          <w:rFonts w:ascii="宋体" w:hAnsi="宋体" w:eastAsia="宋体"/>
          <w:color w:val="auto"/>
          <w:sz w:val="28"/>
        </w:rPr>
      </w:pPr>
    </w:p>
    <w:p w14:paraId="31D84CD6">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74BD0D36">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14DB829E">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186701B1">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365CE002">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72D9BD08">
      <w:pPr>
        <w:spacing w:line="312" w:lineRule="auto"/>
        <w:ind w:firstLine="643"/>
        <w:jc w:val="center"/>
        <w:rPr>
          <w:rFonts w:ascii="Times New Roman" w:hAnsi="Times New Roman"/>
          <w:b/>
          <w:color w:val="auto"/>
          <w:szCs w:val="21"/>
        </w:rPr>
      </w:pPr>
    </w:p>
    <w:p w14:paraId="34BD72B8">
      <w:pPr>
        <w:spacing w:line="360" w:lineRule="auto"/>
        <w:ind w:firstLine="482"/>
        <w:jc w:val="center"/>
        <w:rPr>
          <w:rFonts w:ascii="Times New Roman" w:hAnsi="Times New Roman"/>
          <w:b/>
          <w:color w:val="auto"/>
          <w:sz w:val="24"/>
          <w:szCs w:val="21"/>
        </w:rPr>
      </w:pPr>
    </w:p>
    <w:p w14:paraId="26CB5DAF">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4A539ED5">
      <w:pPr>
        <w:spacing w:line="360" w:lineRule="auto"/>
        <w:ind w:firstLine="560"/>
        <w:rPr>
          <w:rFonts w:hint="eastAsia" w:ascii="仿宋_GB2312" w:hAnsi="仿宋_GB2312" w:eastAsia="仿宋_GB2312" w:cs="仿宋_GB2312"/>
          <w:color w:val="auto"/>
          <w:sz w:val="32"/>
          <w:szCs w:val="32"/>
        </w:rPr>
      </w:pPr>
    </w:p>
    <w:p w14:paraId="3DEB07F1">
      <w:pPr>
        <w:spacing w:line="360" w:lineRule="auto"/>
        <w:ind w:firstLine="560"/>
        <w:rPr>
          <w:rFonts w:hint="eastAsia" w:ascii="仿宋_GB2312" w:hAnsi="仿宋_GB2312" w:eastAsia="仿宋_GB2312" w:cs="仿宋_GB2312"/>
          <w:color w:val="auto"/>
          <w:sz w:val="32"/>
          <w:szCs w:val="32"/>
        </w:rPr>
      </w:pPr>
    </w:p>
    <w:p w14:paraId="02AD8AAD">
      <w:pPr>
        <w:spacing w:line="360" w:lineRule="auto"/>
        <w:ind w:firstLine="560"/>
        <w:rPr>
          <w:rFonts w:hint="eastAsia" w:ascii="仿宋_GB2312" w:hAnsi="仿宋_GB2312" w:eastAsia="仿宋_GB2312" w:cs="仿宋_GB2312"/>
          <w:color w:val="auto"/>
          <w:sz w:val="32"/>
          <w:szCs w:val="32"/>
        </w:rPr>
      </w:pPr>
    </w:p>
    <w:p w14:paraId="6C12DF9C">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2878F2C9">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707A2363">
      <w:pPr>
        <w:jc w:val="both"/>
        <w:rPr>
          <w:rFonts w:hint="eastAsia" w:ascii="仿宋_GB2312" w:hAnsi="仿宋_GB2312" w:eastAsia="仿宋_GB2312" w:cs="仿宋_GB2312"/>
          <w:color w:val="auto"/>
          <w:sz w:val="32"/>
          <w:szCs w:val="32"/>
        </w:rPr>
      </w:pPr>
    </w:p>
    <w:p w14:paraId="6F8CBA94">
      <w:pPr>
        <w:jc w:val="both"/>
        <w:rPr>
          <w:rFonts w:hint="eastAsia" w:ascii="宋体" w:hAnsi="宋体" w:eastAsia="宋体" w:cs="宋体"/>
          <w:color w:val="auto"/>
          <w:sz w:val="28"/>
          <w:szCs w:val="21"/>
        </w:rPr>
      </w:pPr>
    </w:p>
    <w:p w14:paraId="17187697">
      <w:pPr>
        <w:jc w:val="both"/>
        <w:rPr>
          <w:rFonts w:hint="eastAsia" w:ascii="宋体" w:hAnsi="宋体" w:eastAsia="宋体" w:cs="宋体"/>
          <w:color w:val="auto"/>
          <w:sz w:val="28"/>
          <w:szCs w:val="21"/>
        </w:rPr>
      </w:pPr>
    </w:p>
    <w:p w14:paraId="11BAD529">
      <w:pPr>
        <w:jc w:val="both"/>
        <w:rPr>
          <w:rFonts w:hint="eastAsia" w:ascii="宋体" w:hAnsi="宋体" w:eastAsia="宋体" w:cs="宋体"/>
          <w:color w:val="auto"/>
          <w:sz w:val="28"/>
          <w:szCs w:val="21"/>
        </w:rPr>
      </w:pPr>
    </w:p>
    <w:p w14:paraId="6138C72C">
      <w:pPr>
        <w:jc w:val="both"/>
        <w:rPr>
          <w:rFonts w:hint="eastAsia" w:ascii="宋体" w:hAnsi="宋体" w:eastAsia="宋体" w:cs="宋体"/>
          <w:color w:val="auto"/>
          <w:sz w:val="28"/>
          <w:szCs w:val="21"/>
        </w:rPr>
      </w:pPr>
    </w:p>
    <w:p w14:paraId="2424EAD9">
      <w:pPr>
        <w:jc w:val="both"/>
        <w:rPr>
          <w:rFonts w:hint="eastAsia" w:ascii="宋体" w:hAnsi="宋体" w:eastAsia="宋体" w:cs="宋体"/>
          <w:color w:val="auto"/>
          <w:sz w:val="28"/>
          <w:szCs w:val="21"/>
        </w:rPr>
      </w:pPr>
    </w:p>
    <w:p w14:paraId="268348AE">
      <w:pPr>
        <w:jc w:val="both"/>
        <w:rPr>
          <w:rFonts w:hint="eastAsia" w:ascii="宋体" w:hAnsi="宋体" w:eastAsia="宋体" w:cs="宋体"/>
          <w:color w:val="auto"/>
          <w:sz w:val="28"/>
          <w:szCs w:val="21"/>
        </w:rPr>
      </w:pPr>
    </w:p>
    <w:p w14:paraId="7D4E525A">
      <w:pPr>
        <w:jc w:val="both"/>
        <w:rPr>
          <w:rFonts w:hint="eastAsia" w:ascii="宋体" w:hAnsi="宋体" w:eastAsia="宋体" w:cs="宋体"/>
          <w:color w:val="auto"/>
          <w:sz w:val="28"/>
          <w:szCs w:val="21"/>
        </w:rPr>
      </w:pPr>
    </w:p>
    <w:p w14:paraId="5C1D8415">
      <w:pPr>
        <w:spacing w:after="0" w:line="200" w:lineRule="exact"/>
        <w:rPr>
          <w:color w:val="auto"/>
          <w:sz w:val="20"/>
          <w:szCs w:val="20"/>
        </w:rPr>
      </w:pPr>
    </w:p>
    <w:p w14:paraId="1F7D6E4B">
      <w:pPr>
        <w:spacing w:after="0" w:line="200" w:lineRule="exact"/>
        <w:rPr>
          <w:color w:val="auto"/>
          <w:sz w:val="20"/>
          <w:szCs w:val="20"/>
        </w:rPr>
      </w:pPr>
    </w:p>
    <w:p w14:paraId="4497D4E1">
      <w:pPr>
        <w:jc w:val="both"/>
        <w:rPr>
          <w:rFonts w:hint="default" w:ascii="宋体" w:hAnsi="宋体" w:eastAsia="宋体" w:cs="宋体"/>
          <w:color w:val="auto"/>
          <w:sz w:val="28"/>
          <w:szCs w:val="21"/>
          <w:lang w:val="en-US" w:eastAsia="zh-CN"/>
        </w:rPr>
      </w:pPr>
    </w:p>
    <w:p w14:paraId="3B85C6D4">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5BAE2821">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14:paraId="37B377AE">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679F2E63">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77B3B99F">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19D5F0E5">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4A37D3CE">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2EE7F637">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FF0000"/>
          <w:sz w:val="32"/>
          <w:szCs w:val="44"/>
          <w:highlight w:val="none"/>
          <w:u w:val="none" w:color="auto"/>
          <w:lang w:val="en-US" w:eastAsia="zh-CN"/>
        </w:rPr>
      </w:pPr>
      <w:r>
        <w:rPr>
          <w:rFonts w:hint="eastAsia" w:ascii="楷体" w:hAnsi="楷体" w:eastAsia="楷体" w:cs="楷体"/>
          <w:color w:val="FF0000"/>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3C9845A7">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5B2A72BC">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14:paraId="30B53A78">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727CB855">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14:paraId="0F2BF88C">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32D185E3">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0D494222">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55D2DBBB">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2E0851D4">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2B5B6167">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14:paraId="7069B928">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14:paraId="775F72B0">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14:paraId="696DD1AC">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14:paraId="30FDCB4F">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14:paraId="4AAE5ACC">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209D229C">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13BF550D">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489F4A-840D-4025-927C-0FCB2C07D5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7661D132-2D2C-4A2C-8FD4-034683877FE9}"/>
  </w:font>
  <w:font w:name="仿宋_GB2312">
    <w:panose1 w:val="02010609030101010101"/>
    <w:charset w:val="86"/>
    <w:family w:val="auto"/>
    <w:pitch w:val="default"/>
    <w:sig w:usb0="00000001" w:usb1="080E0000" w:usb2="00000000" w:usb3="00000000" w:csb0="00040000" w:csb1="00000000"/>
    <w:embedRegular r:id="rId3" w:fontKey="{7E18C95E-D6C5-4488-82B6-3A63EE8F35C7}"/>
  </w:font>
  <w:font w:name="楷体">
    <w:panose1 w:val="02010609060101010101"/>
    <w:charset w:val="86"/>
    <w:family w:val="auto"/>
    <w:pitch w:val="default"/>
    <w:sig w:usb0="800002BF" w:usb1="38CF7CFA" w:usb2="00000016" w:usb3="00000000" w:csb0="00040001" w:csb1="00000000"/>
    <w:embedRegular r:id="rId4" w:fontKey="{101820DC-63CE-4399-82E5-068C3F9A60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A11E">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B7665">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65B7665">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8C2E">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NjZjNDM5MTQyMTYwNDI0NjdmYmFiODhmNmM3Y2MifQ=="/>
  </w:docVars>
  <w:rsids>
    <w:rsidRoot w:val="4D9B068D"/>
    <w:rsid w:val="0026130D"/>
    <w:rsid w:val="02942194"/>
    <w:rsid w:val="02EE3528"/>
    <w:rsid w:val="08733028"/>
    <w:rsid w:val="088272FC"/>
    <w:rsid w:val="099C43EE"/>
    <w:rsid w:val="09D26061"/>
    <w:rsid w:val="0A685899"/>
    <w:rsid w:val="0DC40780"/>
    <w:rsid w:val="0E2C5505"/>
    <w:rsid w:val="0E4A08BC"/>
    <w:rsid w:val="0ECC7523"/>
    <w:rsid w:val="10466007"/>
    <w:rsid w:val="10B47313"/>
    <w:rsid w:val="10CA75DE"/>
    <w:rsid w:val="11FD3F00"/>
    <w:rsid w:val="12B23140"/>
    <w:rsid w:val="12CD2B49"/>
    <w:rsid w:val="137F4B64"/>
    <w:rsid w:val="15BE09CC"/>
    <w:rsid w:val="16124338"/>
    <w:rsid w:val="181B0A50"/>
    <w:rsid w:val="18BA44B9"/>
    <w:rsid w:val="197762DD"/>
    <w:rsid w:val="1A4127DD"/>
    <w:rsid w:val="1A4F5D17"/>
    <w:rsid w:val="1BB93055"/>
    <w:rsid w:val="1CDD6D9F"/>
    <w:rsid w:val="1D4D78F3"/>
    <w:rsid w:val="1D5C7CC4"/>
    <w:rsid w:val="1DC35F95"/>
    <w:rsid w:val="1FDD22DA"/>
    <w:rsid w:val="22124DF5"/>
    <w:rsid w:val="221F58BD"/>
    <w:rsid w:val="2245341D"/>
    <w:rsid w:val="243E3E12"/>
    <w:rsid w:val="24741D97"/>
    <w:rsid w:val="27334AB4"/>
    <w:rsid w:val="283C08EA"/>
    <w:rsid w:val="296C0423"/>
    <w:rsid w:val="29EF0D63"/>
    <w:rsid w:val="2AD27817"/>
    <w:rsid w:val="2D6A7083"/>
    <w:rsid w:val="2EB80E48"/>
    <w:rsid w:val="308C5765"/>
    <w:rsid w:val="3190574A"/>
    <w:rsid w:val="32FC2C44"/>
    <w:rsid w:val="3303384E"/>
    <w:rsid w:val="35931F53"/>
    <w:rsid w:val="3657395C"/>
    <w:rsid w:val="38B54849"/>
    <w:rsid w:val="38E76906"/>
    <w:rsid w:val="3B2E2096"/>
    <w:rsid w:val="3B54616D"/>
    <w:rsid w:val="3E2D328B"/>
    <w:rsid w:val="3EAB5C3B"/>
    <w:rsid w:val="3F8344D4"/>
    <w:rsid w:val="402756B3"/>
    <w:rsid w:val="4052275F"/>
    <w:rsid w:val="413E168C"/>
    <w:rsid w:val="42664FBD"/>
    <w:rsid w:val="42AA7D7E"/>
    <w:rsid w:val="4335673E"/>
    <w:rsid w:val="47A31401"/>
    <w:rsid w:val="4CF5766A"/>
    <w:rsid w:val="4CFB7BB3"/>
    <w:rsid w:val="4D4B7289"/>
    <w:rsid w:val="4D6F609D"/>
    <w:rsid w:val="4D9B068D"/>
    <w:rsid w:val="4E524648"/>
    <w:rsid w:val="4E6C5709"/>
    <w:rsid w:val="4F0D72B3"/>
    <w:rsid w:val="4F564D32"/>
    <w:rsid w:val="50234A24"/>
    <w:rsid w:val="503520A6"/>
    <w:rsid w:val="513F7E51"/>
    <w:rsid w:val="51E7284C"/>
    <w:rsid w:val="53037E3D"/>
    <w:rsid w:val="536117EB"/>
    <w:rsid w:val="53923E52"/>
    <w:rsid w:val="54343D2D"/>
    <w:rsid w:val="552C5E72"/>
    <w:rsid w:val="569471BA"/>
    <w:rsid w:val="56EE5447"/>
    <w:rsid w:val="595F3972"/>
    <w:rsid w:val="5A3946CD"/>
    <w:rsid w:val="5AAC047B"/>
    <w:rsid w:val="5AB3646E"/>
    <w:rsid w:val="5C09043F"/>
    <w:rsid w:val="5D526115"/>
    <w:rsid w:val="5E2F30E9"/>
    <w:rsid w:val="5F44062B"/>
    <w:rsid w:val="5F6D372A"/>
    <w:rsid w:val="5F8E35A3"/>
    <w:rsid w:val="63DA3BBC"/>
    <w:rsid w:val="65032813"/>
    <w:rsid w:val="66693F2B"/>
    <w:rsid w:val="6762020E"/>
    <w:rsid w:val="67C66814"/>
    <w:rsid w:val="68E16302"/>
    <w:rsid w:val="6B4750DC"/>
    <w:rsid w:val="6CA15DEF"/>
    <w:rsid w:val="6F471B3B"/>
    <w:rsid w:val="70F25B46"/>
    <w:rsid w:val="71FC4C63"/>
    <w:rsid w:val="72846A8E"/>
    <w:rsid w:val="72FA5832"/>
    <w:rsid w:val="739604C1"/>
    <w:rsid w:val="74235396"/>
    <w:rsid w:val="7526598E"/>
    <w:rsid w:val="76163CCA"/>
    <w:rsid w:val="762E48F4"/>
    <w:rsid w:val="76676633"/>
    <w:rsid w:val="777C4360"/>
    <w:rsid w:val="7869627C"/>
    <w:rsid w:val="79AF6B9B"/>
    <w:rsid w:val="7AB70259"/>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6342</Words>
  <Characters>6574</Characters>
  <Lines>0</Lines>
  <Paragraphs>0</Paragraphs>
  <TotalTime>1</TotalTime>
  <ScaleCrop>false</ScaleCrop>
  <LinksUpToDate>false</LinksUpToDate>
  <CharactersWithSpaces>7270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WangYH</cp:lastModifiedBy>
  <cp:lastPrinted>2021-11-13T02:35:00Z</cp:lastPrinted>
  <dcterms:modified xsi:type="dcterms:W3CDTF">2025-04-08T02:32:40Z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ACA76715CEED4B0F93DDA83255C2EF5F</vt:lpwstr>
  </property>
</Properties>
</file>