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34BBE">
      <w:pPr>
        <w:spacing w:line="520" w:lineRule="exact"/>
        <w:ind w:firstLine="0" w:firstLineChars="0"/>
        <w:jc w:val="center"/>
        <w:rPr>
          <w:rFonts w:hint="eastAsia" w:ascii="方正小标宋简体" w:hAnsi="方正小标宋简体" w:eastAsia="方正小标宋简体" w:cs="方正小标宋简体"/>
          <w:sz w:val="40"/>
          <w:szCs w:val="40"/>
        </w:rPr>
      </w:pPr>
      <w:bookmarkStart w:id="0" w:name="_Hlk533590101"/>
    </w:p>
    <w:p w14:paraId="6DF60F10">
      <w:pPr>
        <w:spacing w:line="520" w:lineRule="exac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广州市少年宫保险项目</w:t>
      </w:r>
    </w:p>
    <w:p w14:paraId="3EE26EFF">
      <w:pPr>
        <w:spacing w:line="520" w:lineRule="exac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采购需求清单</w:t>
      </w:r>
    </w:p>
    <w:p w14:paraId="49B59EC6">
      <w:pPr>
        <w:pStyle w:val="6"/>
        <w:widowControl/>
        <w:spacing w:line="520" w:lineRule="exact"/>
        <w:ind w:firstLine="0" w:firstLineChars="0"/>
        <w:rPr>
          <w:rFonts w:cs="仿宋_GB2312" w:asciiTheme="minorEastAsia" w:hAnsiTheme="minorEastAsia" w:eastAsiaTheme="minorEastAsia"/>
          <w:kern w:val="2"/>
          <w:sz w:val="32"/>
          <w:szCs w:val="32"/>
        </w:rPr>
      </w:pPr>
    </w:p>
    <w:p w14:paraId="28FF41F2">
      <w:pPr>
        <w:pStyle w:val="6"/>
        <w:keepNext w:val="0"/>
        <w:keepLines w:val="0"/>
        <w:pageBreakBefore w:val="0"/>
        <w:widowControl/>
        <w:kinsoku/>
        <w:wordWrap/>
        <w:overflowPunct/>
        <w:topLinePunct w:val="0"/>
        <w:autoSpaceDE/>
        <w:autoSpaceDN/>
        <w:bidi w:val="0"/>
        <w:adjustRightInd/>
        <w:snapToGrid/>
        <w:spacing w:line="500" w:lineRule="exact"/>
        <w:ind w:firstLine="0" w:firstLineChars="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各单位：</w:t>
      </w:r>
    </w:p>
    <w:p w14:paraId="3A9B42CB">
      <w:pPr>
        <w:keepNext w:val="0"/>
        <w:keepLines w:val="0"/>
        <w:pageBreakBefore w:val="0"/>
        <w:kinsoku/>
        <w:wordWrap/>
        <w:overflowPunct/>
        <w:topLinePunct w:val="0"/>
        <w:autoSpaceDE/>
        <w:autoSpaceDN/>
        <w:bidi w:val="0"/>
        <w:adjustRightInd/>
        <w:snapToGrid/>
        <w:spacing w:line="500" w:lineRule="exac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本单位就“广州市少年宫《校园方责任保险》、《</w:t>
      </w:r>
      <w:r>
        <w:rPr>
          <w:rFonts w:hint="eastAsia" w:ascii="Times New Roman" w:hAnsi="Times New Roman" w:eastAsia="仿宋_GB2312" w:cs="Times New Roman"/>
          <w:sz w:val="32"/>
          <w:szCs w:val="32"/>
          <w:lang w:val="en-US" w:eastAsia="zh-CN"/>
        </w:rPr>
        <w:t>外聘教师</w:t>
      </w:r>
      <w:r>
        <w:rPr>
          <w:rFonts w:hint="default" w:ascii="Times New Roman" w:hAnsi="Times New Roman" w:eastAsia="仿宋_GB2312" w:cs="Times New Roman"/>
          <w:sz w:val="32"/>
          <w:szCs w:val="32"/>
        </w:rPr>
        <w:t>校园方责任险》保险服务”进行询价，请合格的供应商按要求予以报价。</w:t>
      </w:r>
    </w:p>
    <w:p w14:paraId="362EE2B3">
      <w:pPr>
        <w:pStyle w:val="2"/>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项目范围：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360"/>
        <w:gridCol w:w="3166"/>
      </w:tblGrid>
      <w:tr w14:paraId="530B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14:paraId="53AE8762">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4360" w:type="dxa"/>
          </w:tcPr>
          <w:p w14:paraId="24FE3881">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w:t>
            </w:r>
          </w:p>
        </w:tc>
        <w:tc>
          <w:tcPr>
            <w:tcW w:w="3166" w:type="dxa"/>
          </w:tcPr>
          <w:p w14:paraId="6384CF09">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服务内容</w:t>
            </w:r>
          </w:p>
        </w:tc>
      </w:tr>
      <w:tr w14:paraId="45F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0EADB49D">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cs="仿宋_GB2312" w:asciiTheme="majorEastAsia" w:hAnsiTheme="majorEastAsia" w:eastAsiaTheme="majorEastAsia"/>
                <w:sz w:val="24"/>
                <w:lang w:val="en-US" w:eastAsia="zh-CN"/>
              </w:rPr>
              <w:t>1</w:t>
            </w:r>
          </w:p>
        </w:tc>
        <w:tc>
          <w:tcPr>
            <w:tcW w:w="4360" w:type="dxa"/>
            <w:vMerge w:val="restart"/>
          </w:tcPr>
          <w:p w14:paraId="6A3F71BC">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广州市少年宫一宫</w:t>
            </w:r>
          </w:p>
          <w:p w14:paraId="52C28BDF">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广州市越秀区东风西路167号</w:t>
            </w:r>
          </w:p>
        </w:tc>
        <w:tc>
          <w:tcPr>
            <w:tcW w:w="3166" w:type="dxa"/>
            <w:vAlign w:val="center"/>
          </w:tcPr>
          <w:p w14:paraId="18ACF407">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14:paraId="29FF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243246B9">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lang w:val="en-US" w:eastAsia="zh-CN"/>
              </w:rPr>
            </w:pPr>
          </w:p>
        </w:tc>
        <w:tc>
          <w:tcPr>
            <w:tcW w:w="4360" w:type="dxa"/>
            <w:vMerge w:val="continue"/>
          </w:tcPr>
          <w:p w14:paraId="3E161AEB">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14:paraId="3244CC1E">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14:paraId="404C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5AFBF099">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default"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lang w:val="en-US" w:eastAsia="zh-CN"/>
              </w:rPr>
              <w:t>2</w:t>
            </w:r>
          </w:p>
        </w:tc>
        <w:tc>
          <w:tcPr>
            <w:tcW w:w="4360" w:type="dxa"/>
            <w:vMerge w:val="restart"/>
          </w:tcPr>
          <w:p w14:paraId="63411060">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广州市少年宫二宫</w:t>
            </w:r>
          </w:p>
          <w:p w14:paraId="533A49C3">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广州市天河区华就路273号</w:t>
            </w:r>
          </w:p>
        </w:tc>
        <w:tc>
          <w:tcPr>
            <w:tcW w:w="3166" w:type="dxa"/>
            <w:vAlign w:val="center"/>
          </w:tcPr>
          <w:p w14:paraId="3B070CB3">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14:paraId="133C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0F8A4136">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cs="仿宋_GB2312" w:asciiTheme="majorEastAsia" w:hAnsiTheme="majorEastAsia" w:eastAsiaTheme="majorEastAsia"/>
                <w:sz w:val="24"/>
                <w:lang w:val="en-US" w:eastAsia="zh-CN"/>
              </w:rPr>
            </w:pPr>
          </w:p>
        </w:tc>
        <w:tc>
          <w:tcPr>
            <w:tcW w:w="4360" w:type="dxa"/>
            <w:vMerge w:val="continue"/>
          </w:tcPr>
          <w:p w14:paraId="1F0B2D10">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14:paraId="2A896FBC">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14:paraId="077B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14:paraId="3FDCF2A3">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lang w:val="en-US" w:eastAsia="zh-CN"/>
              </w:rPr>
              <w:t>3</w:t>
            </w:r>
          </w:p>
        </w:tc>
        <w:tc>
          <w:tcPr>
            <w:tcW w:w="4360" w:type="dxa"/>
            <w:vMerge w:val="restart"/>
          </w:tcPr>
          <w:p w14:paraId="32272F5F">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广州市少年宫三宫</w:t>
            </w:r>
          </w:p>
          <w:p w14:paraId="337BB223">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广州市黄埔区镇东路68号（剧院），大沙北路251号（主楼）</w:t>
            </w:r>
          </w:p>
        </w:tc>
        <w:tc>
          <w:tcPr>
            <w:tcW w:w="3166" w:type="dxa"/>
            <w:vAlign w:val="center"/>
          </w:tcPr>
          <w:p w14:paraId="2C42FE9C">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14:paraId="6020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14:paraId="21502711">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4360" w:type="dxa"/>
            <w:vMerge w:val="continue"/>
          </w:tcPr>
          <w:p w14:paraId="6E903513">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14:paraId="2E9E7D0D">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bl>
    <w:p w14:paraId="235A3672">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rPr>
      </w:pPr>
    </w:p>
    <w:bookmarkEnd w:id="0"/>
    <w:p w14:paraId="38462427">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default" w:ascii="黑体" w:hAnsi="黑体" w:eastAsia="黑体" w:cs="黑体"/>
          <w:sz w:val="32"/>
          <w:szCs w:val="32"/>
          <w:lang w:eastAsia="zh-CN"/>
        </w:rPr>
        <w:t>二、保险责任内容</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330"/>
        <w:gridCol w:w="3474"/>
      </w:tblGrid>
      <w:tr w14:paraId="6875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59" w:type="dxa"/>
            <w:vAlign w:val="center"/>
          </w:tcPr>
          <w:p w14:paraId="667AB604">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序</w:t>
            </w:r>
            <w:r>
              <w:rPr>
                <w:rFonts w:cs="仿宋_GB2312" w:asciiTheme="majorEastAsia" w:hAnsiTheme="majorEastAsia" w:eastAsiaTheme="majorEastAsia"/>
                <w:sz w:val="24"/>
                <w:szCs w:val="24"/>
              </w:rPr>
              <w:t>号</w:t>
            </w:r>
          </w:p>
        </w:tc>
        <w:tc>
          <w:tcPr>
            <w:tcW w:w="1276" w:type="dxa"/>
            <w:vAlign w:val="center"/>
          </w:tcPr>
          <w:p w14:paraId="4AA0A5B8">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险</w:t>
            </w:r>
            <w:r>
              <w:rPr>
                <w:rFonts w:cs="仿宋_GB2312" w:asciiTheme="majorEastAsia" w:hAnsiTheme="majorEastAsia" w:eastAsiaTheme="majorEastAsia"/>
                <w:sz w:val="24"/>
                <w:szCs w:val="24"/>
              </w:rPr>
              <w:t>种</w:t>
            </w:r>
          </w:p>
        </w:tc>
        <w:tc>
          <w:tcPr>
            <w:tcW w:w="3330" w:type="dxa"/>
            <w:vAlign w:val="center"/>
          </w:tcPr>
          <w:p w14:paraId="51EC5D73">
            <w:pPr>
              <w:keepNext w:val="0"/>
              <w:keepLines w:val="0"/>
              <w:pageBreakBefore w:val="0"/>
              <w:widowControl w:val="0"/>
              <w:kinsoku/>
              <w:wordWrap/>
              <w:overflowPunct/>
              <w:topLinePunct w:val="0"/>
              <w:autoSpaceDE w:val="0"/>
              <w:autoSpaceDN w:val="0"/>
              <w:bidi w:val="0"/>
              <w:adjustRightInd w:val="0"/>
              <w:snapToGrid/>
              <w:spacing w:line="280" w:lineRule="exact"/>
              <w:ind w:firstLine="48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保险</w:t>
            </w:r>
            <w:r>
              <w:rPr>
                <w:rFonts w:cs="仿宋_GB2312" w:asciiTheme="majorEastAsia" w:hAnsiTheme="majorEastAsia" w:eastAsiaTheme="majorEastAsia"/>
                <w:sz w:val="24"/>
                <w:szCs w:val="24"/>
              </w:rPr>
              <w:t>金额</w:t>
            </w:r>
          </w:p>
        </w:tc>
        <w:tc>
          <w:tcPr>
            <w:tcW w:w="3474" w:type="dxa"/>
            <w:vAlign w:val="center"/>
          </w:tcPr>
          <w:p w14:paraId="0F080509">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扩</w:t>
            </w:r>
            <w:r>
              <w:rPr>
                <w:rFonts w:cs="仿宋_GB2312" w:asciiTheme="majorEastAsia" w:hAnsiTheme="majorEastAsia" w:eastAsiaTheme="majorEastAsia"/>
                <w:sz w:val="24"/>
                <w:szCs w:val="24"/>
              </w:rPr>
              <w:t>展</w:t>
            </w:r>
            <w:r>
              <w:rPr>
                <w:rFonts w:hint="eastAsia" w:cs="仿宋_GB2312" w:asciiTheme="majorEastAsia" w:hAnsiTheme="majorEastAsia" w:eastAsiaTheme="majorEastAsia"/>
                <w:sz w:val="24"/>
                <w:szCs w:val="24"/>
              </w:rPr>
              <w:t>条</w:t>
            </w:r>
            <w:r>
              <w:rPr>
                <w:rFonts w:cs="仿宋_GB2312" w:asciiTheme="majorEastAsia" w:hAnsiTheme="majorEastAsia" w:eastAsiaTheme="majorEastAsia"/>
                <w:sz w:val="24"/>
                <w:szCs w:val="24"/>
              </w:rPr>
              <w:t>款</w:t>
            </w:r>
            <w:r>
              <w:rPr>
                <w:rFonts w:hint="eastAsia" w:cs="仿宋_GB2312" w:asciiTheme="majorEastAsia" w:hAnsiTheme="majorEastAsia" w:eastAsiaTheme="majorEastAsia"/>
                <w:sz w:val="24"/>
                <w:szCs w:val="24"/>
              </w:rPr>
              <w:t>及保险</w:t>
            </w:r>
            <w:r>
              <w:rPr>
                <w:rFonts w:cs="仿宋_GB2312" w:asciiTheme="majorEastAsia" w:hAnsiTheme="majorEastAsia" w:eastAsiaTheme="majorEastAsia"/>
                <w:sz w:val="24"/>
                <w:szCs w:val="24"/>
              </w:rPr>
              <w:t>金额</w:t>
            </w:r>
          </w:p>
        </w:tc>
      </w:tr>
      <w:tr w14:paraId="286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tcPr>
          <w:p w14:paraId="4382D326">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hint="eastAsia" w:cs="仿宋_GB2312" w:asciiTheme="majorEastAsia" w:hAnsiTheme="majorEastAsia" w:eastAsiaTheme="majorEastAsia"/>
                <w:sz w:val="21"/>
                <w:szCs w:val="21"/>
                <w:lang w:eastAsia="zh-CN"/>
              </w:rPr>
            </w:pPr>
            <w:r>
              <w:rPr>
                <w:rFonts w:hint="eastAsia" w:cs="仿宋_GB2312" w:asciiTheme="majorEastAsia" w:hAnsiTheme="majorEastAsia" w:eastAsiaTheme="majorEastAsia"/>
                <w:sz w:val="21"/>
                <w:szCs w:val="21"/>
                <w:lang w:val="en-US" w:eastAsia="zh-CN"/>
              </w:rPr>
              <w:t>1</w:t>
            </w:r>
          </w:p>
        </w:tc>
        <w:tc>
          <w:tcPr>
            <w:tcW w:w="1276" w:type="dxa"/>
            <w:vAlign w:val="center"/>
          </w:tcPr>
          <w:p w14:paraId="529AC59A">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校（园）方责任险</w:t>
            </w:r>
          </w:p>
          <w:p w14:paraId="354CF987">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color w:val="auto"/>
                <w:sz w:val="21"/>
                <w:szCs w:val="21"/>
              </w:rPr>
              <w:t>（单日最高18</w:t>
            </w:r>
            <w:r>
              <w:rPr>
                <w:rFonts w:hint="eastAsia" w:cs="仿宋_GB2312" w:asciiTheme="majorEastAsia" w:hAnsiTheme="majorEastAsia" w:eastAsiaTheme="majorEastAsia"/>
                <w:color w:val="auto"/>
                <w:sz w:val="21"/>
                <w:szCs w:val="21"/>
                <w:lang w:val="en-US" w:eastAsia="zh-CN"/>
              </w:rPr>
              <w:t>0</w:t>
            </w:r>
            <w:r>
              <w:rPr>
                <w:rFonts w:hint="eastAsia" w:cs="仿宋_GB2312" w:asciiTheme="majorEastAsia" w:hAnsiTheme="majorEastAsia" w:eastAsiaTheme="majorEastAsia"/>
                <w:color w:val="auto"/>
                <w:sz w:val="21"/>
                <w:szCs w:val="21"/>
              </w:rPr>
              <w:t>00人）</w:t>
            </w:r>
          </w:p>
        </w:tc>
        <w:tc>
          <w:tcPr>
            <w:tcW w:w="3330" w:type="dxa"/>
            <w:vAlign w:val="center"/>
          </w:tcPr>
          <w:p w14:paraId="0723B28B">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①每人每年赔偿限额：人民币30万元；</w:t>
            </w:r>
          </w:p>
          <w:p w14:paraId="37DFBE34">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②每次事故赔偿限额：人民币500万元；</w:t>
            </w:r>
          </w:p>
          <w:p w14:paraId="33BFB44D">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③每年累计赔偿限额：人民币1500万元；</w:t>
            </w:r>
          </w:p>
          <w:p w14:paraId="2FFFBEFA">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④每次事故每人财产损失赔偿限额：人民币2万元；</w:t>
            </w:r>
          </w:p>
          <w:p w14:paraId="5F941240">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⑤每次事故财产损失赔偿限额：人民币100万元；</w:t>
            </w:r>
          </w:p>
          <w:p w14:paraId="77000E75">
            <w:pPr>
              <w:keepNext w:val="0"/>
              <w:keepLines w:val="0"/>
              <w:pageBreakBefore w:val="0"/>
              <w:widowControl w:val="0"/>
              <w:kinsoku/>
              <w:wordWrap/>
              <w:overflowPunct/>
              <w:topLinePunct w:val="0"/>
              <w:autoSpaceDE w:val="0"/>
              <w:autoSpaceDN w:val="0"/>
              <w:bidi w:val="0"/>
              <w:adjustRightInd w:val="0"/>
              <w:snapToGrid/>
              <w:spacing w:line="280" w:lineRule="atLeas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⑥每所学校每次事故法律费用赔偿限额：人民币10万元；</w:t>
            </w:r>
          </w:p>
          <w:p w14:paraId="21456609">
            <w:pPr>
              <w:pStyle w:val="2"/>
              <w:keepNext w:val="0"/>
              <w:keepLines w:val="0"/>
              <w:pageBreakBefore w:val="0"/>
              <w:widowControl w:val="0"/>
              <w:kinsoku/>
              <w:wordWrap/>
              <w:overflowPunct/>
              <w:topLinePunct w:val="0"/>
              <w:bidi w:val="0"/>
              <w:snapToGrid/>
              <w:spacing w:line="280" w:lineRule="atLeast"/>
              <w:ind w:left="0" w:leftChars="0" w:firstLine="0" w:firstLineChars="0"/>
              <w:textAlignment w:val="auto"/>
            </w:pPr>
            <w:r>
              <w:rPr>
                <w:rFonts w:hint="eastAsia" w:cs="仿宋_GB2312" w:asciiTheme="majorEastAsia" w:hAnsiTheme="majorEastAsia" w:eastAsiaTheme="majorEastAsia"/>
                <w:kern w:val="2"/>
                <w:sz w:val="21"/>
                <w:szCs w:val="21"/>
                <w:lang w:val="en-US" w:eastAsia="zh-CN" w:bidi="ar-SA"/>
              </w:rPr>
              <w:t>每次事故免赔100元。</w:t>
            </w:r>
          </w:p>
        </w:tc>
        <w:tc>
          <w:tcPr>
            <w:tcW w:w="3474" w:type="dxa"/>
            <w:vAlign w:val="center"/>
          </w:tcPr>
          <w:p w14:paraId="1C9E5F5A">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rPr>
                <w:rFonts w:hint="eastAsia" w:cs="仿宋_GB2312" w:asciiTheme="majorEastAsia" w:hAnsiTheme="majorEastAsia" w:eastAsiaTheme="majorEastAsia"/>
                <w:b w:val="0"/>
                <w:kern w:val="2"/>
                <w:sz w:val="21"/>
                <w:szCs w:val="21"/>
                <w:lang w:val="en-US" w:eastAsia="zh-CN" w:bidi="ar-SA"/>
              </w:rPr>
            </w:pPr>
            <w:r>
              <w:rPr>
                <w:rFonts w:hint="eastAsia" w:cs="仿宋_GB2312" w:asciiTheme="majorEastAsia" w:hAnsiTheme="majorEastAsia" w:eastAsiaTheme="majorEastAsia"/>
                <w:b w:val="0"/>
                <w:kern w:val="2"/>
                <w:sz w:val="21"/>
                <w:szCs w:val="21"/>
                <w:lang w:val="en-US" w:eastAsia="zh-CN" w:bidi="ar-SA"/>
              </w:rPr>
              <w:t>①附加境外责任保险：每次事故每人赔偿限额30万元，每次事故赔偿人次100人为限；</w:t>
            </w:r>
          </w:p>
          <w:p w14:paraId="33358E89">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仿宋_GB2312" w:asciiTheme="majorEastAsia" w:hAnsiTheme="majorEastAsia" w:eastAsiaTheme="majorEastAsia"/>
                <w:b w:val="0"/>
                <w:kern w:val="2"/>
                <w:sz w:val="21"/>
                <w:szCs w:val="21"/>
                <w:lang w:val="en-US" w:eastAsia="zh-CN" w:bidi="ar-SA"/>
              </w:rPr>
              <w:t>②附加注册学生第三者责任保险：每次事故每人赔偿限额30万元。</w:t>
            </w:r>
          </w:p>
        </w:tc>
      </w:tr>
      <w:tr w14:paraId="7F11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9" w:type="dxa"/>
          </w:tcPr>
          <w:p w14:paraId="15ADB462">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hint="eastAsia" w:cs="仿宋_GB2312" w:asciiTheme="majorEastAsia" w:hAnsiTheme="majorEastAsia" w:eastAsiaTheme="majorEastAsia"/>
                <w:sz w:val="21"/>
                <w:szCs w:val="21"/>
                <w:lang w:eastAsia="zh-CN"/>
              </w:rPr>
            </w:pPr>
            <w:r>
              <w:rPr>
                <w:rFonts w:hint="eastAsia" w:cs="仿宋_GB2312" w:asciiTheme="majorEastAsia" w:hAnsiTheme="majorEastAsia" w:eastAsiaTheme="majorEastAsia"/>
                <w:sz w:val="21"/>
                <w:szCs w:val="21"/>
                <w:lang w:val="en-US" w:eastAsia="zh-CN"/>
              </w:rPr>
              <w:t>2</w:t>
            </w:r>
          </w:p>
        </w:tc>
        <w:tc>
          <w:tcPr>
            <w:tcW w:w="1276" w:type="dxa"/>
            <w:vAlign w:val="center"/>
          </w:tcPr>
          <w:p w14:paraId="67084448">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外聘教师校园方责任保险</w:t>
            </w:r>
          </w:p>
          <w:p w14:paraId="79343E8F">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color w:val="auto"/>
                <w:sz w:val="21"/>
                <w:szCs w:val="21"/>
              </w:rPr>
              <w:t>（共</w:t>
            </w:r>
            <w:r>
              <w:rPr>
                <w:rFonts w:hint="eastAsia" w:cs="仿宋_GB2312" w:asciiTheme="majorEastAsia" w:hAnsiTheme="majorEastAsia" w:eastAsiaTheme="majorEastAsia"/>
                <w:color w:val="auto"/>
                <w:sz w:val="21"/>
                <w:szCs w:val="21"/>
                <w:lang w:val="en-US" w:eastAsia="zh-CN"/>
              </w:rPr>
              <w:t>780</w:t>
            </w:r>
            <w:r>
              <w:rPr>
                <w:rFonts w:hint="eastAsia" w:cs="仿宋_GB2312" w:asciiTheme="majorEastAsia" w:hAnsiTheme="majorEastAsia" w:eastAsiaTheme="majorEastAsia"/>
                <w:color w:val="auto"/>
                <w:sz w:val="21"/>
                <w:szCs w:val="21"/>
              </w:rPr>
              <w:t>名教师）</w:t>
            </w:r>
          </w:p>
        </w:tc>
        <w:tc>
          <w:tcPr>
            <w:tcW w:w="3330" w:type="dxa"/>
            <w:vAlign w:val="center"/>
          </w:tcPr>
          <w:p w14:paraId="19141CAD">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①每人死亡赔偿限额：人民币400,000 元</w:t>
            </w:r>
          </w:p>
          <w:p w14:paraId="6FD36BE4">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②每人伤残赔偿限额：人民币500,000元</w:t>
            </w:r>
          </w:p>
          <w:p w14:paraId="5E6D9A19">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③每人医疗费用赔偿限额：人民币100,000 元</w:t>
            </w:r>
          </w:p>
          <w:p w14:paraId="6B4556B3">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④每人法律费用赔偿限额：人民币20,000元</w:t>
            </w:r>
          </w:p>
          <w:p w14:paraId="6B7C5550">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hint="eastAsia"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⑤每人额外费用赔偿限额：人民币20,000元</w:t>
            </w:r>
          </w:p>
          <w:p w14:paraId="321ED3E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eastAsiaTheme="majorEastAsia"/>
                <w:lang w:val="en-US" w:eastAsia="zh-CN"/>
              </w:rPr>
            </w:pPr>
            <w:bookmarkStart w:id="1" w:name="_GoBack"/>
            <w:bookmarkEnd w:id="1"/>
            <w:r>
              <w:rPr>
                <w:rFonts w:hint="eastAsia" w:cs="仿宋_GB2312" w:asciiTheme="majorEastAsia" w:hAnsiTheme="majorEastAsia" w:eastAsiaTheme="majorEastAsia"/>
                <w:kern w:val="2"/>
                <w:sz w:val="21"/>
                <w:szCs w:val="21"/>
                <w:lang w:val="en-US" w:eastAsia="zh-CN" w:bidi="ar-SA"/>
              </w:rPr>
              <w:t>无免赔额。</w:t>
            </w:r>
          </w:p>
        </w:tc>
        <w:tc>
          <w:tcPr>
            <w:tcW w:w="3474" w:type="dxa"/>
            <w:vAlign w:val="center"/>
          </w:tcPr>
          <w:p w14:paraId="66B84BDA">
            <w:pPr>
              <w:keepNext w:val="0"/>
              <w:keepLines w:val="0"/>
              <w:pageBreakBefore w:val="0"/>
              <w:widowControl w:val="0"/>
              <w:kinsoku/>
              <w:wordWrap/>
              <w:overflowPunct/>
              <w:topLinePunct w:val="0"/>
              <w:autoSpaceDE w:val="0"/>
              <w:autoSpaceDN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扩展临时</w:t>
            </w:r>
            <w:r>
              <w:rPr>
                <w:rFonts w:hint="eastAsia" w:cs="仿宋_GB2312" w:asciiTheme="majorEastAsia" w:hAnsiTheme="majorEastAsia" w:eastAsiaTheme="majorEastAsia"/>
                <w:b/>
                <w:sz w:val="21"/>
                <w:szCs w:val="21"/>
              </w:rPr>
              <w:t>校外</w:t>
            </w:r>
            <w:r>
              <w:rPr>
                <w:rFonts w:hint="eastAsia" w:cs="仿宋_GB2312" w:asciiTheme="majorEastAsia" w:hAnsiTheme="majorEastAsia" w:eastAsiaTheme="majorEastAsia"/>
                <w:sz w:val="21"/>
                <w:szCs w:val="21"/>
              </w:rPr>
              <w:t>及</w:t>
            </w:r>
            <w:r>
              <w:rPr>
                <w:rFonts w:cs="仿宋_GB2312" w:asciiTheme="majorEastAsia" w:hAnsiTheme="majorEastAsia" w:eastAsiaTheme="majorEastAsia"/>
                <w:sz w:val="21"/>
                <w:szCs w:val="21"/>
              </w:rPr>
              <w:t>海外公干责任</w:t>
            </w:r>
          </w:p>
          <w:p w14:paraId="5AE321C8">
            <w:pPr>
              <w:pStyle w:val="2"/>
              <w:keepNext w:val="0"/>
              <w:keepLines w:val="0"/>
              <w:pageBreakBefore w:val="0"/>
              <w:widowControl w:val="0"/>
              <w:kinsoku/>
              <w:wordWrap/>
              <w:overflowPunct/>
              <w:topLinePunct w:val="0"/>
              <w:bidi w:val="0"/>
              <w:snapToGrid/>
              <w:spacing w:line="280" w:lineRule="exact"/>
              <w:ind w:firstLine="0" w:firstLineChars="0"/>
              <w:textAlignment w:val="auto"/>
            </w:pPr>
          </w:p>
        </w:tc>
      </w:tr>
    </w:tbl>
    <w:p w14:paraId="3088AAAF">
      <w:pPr>
        <w:pStyle w:val="2"/>
        <w:spacing w:line="440" w:lineRule="exact"/>
        <w:ind w:firstLine="0" w:firstLineChars="0"/>
        <w:rPr>
          <w:rFonts w:asciiTheme="majorEastAsia" w:hAnsiTheme="majorEastAsia" w:eastAsiaTheme="majorEastAsia"/>
          <w:sz w:val="24"/>
        </w:rPr>
      </w:pPr>
    </w:p>
    <w:p w14:paraId="5F0C432F">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三、合格的供应商应具备公告中列明的所有资格。</w:t>
      </w:r>
    </w:p>
    <w:p w14:paraId="31761748">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四、符合条件的供应商，均可在自愿遵守本询价采购要求的前提下进行报价，并一次性报出不得更改的价格。</w:t>
      </w:r>
      <w:r>
        <w:rPr>
          <w:rFonts w:hint="eastAsia" w:ascii="Times New Roman" w:hAnsi="Times New Roman" w:eastAsia="仿宋_GB2312" w:cs="Times New Roman"/>
          <w:kern w:val="2"/>
          <w:sz w:val="32"/>
          <w:szCs w:val="32"/>
        </w:rPr>
        <w:t>请严格按要求制作响应文件。所有证书类文件必须在有效期内。所有文件必须加盖公章。对于不符合要求的供应商所递交的报价文件，恕不接受。</w:t>
      </w:r>
    </w:p>
    <w:p w14:paraId="090C5559">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五、采购方式：询价采购。</w:t>
      </w:r>
    </w:p>
    <w:p w14:paraId="5FC3B384">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六、本次询价为整体采购，响应供应商报价时须考虑单价及总价、要求的标准，投标报价包含查勘费用、加班费、税收以及售后服务等费用，定标后在不增加教职员工数情况下不再增补任何费用。</w:t>
      </w:r>
    </w:p>
    <w:p w14:paraId="40B33D65">
      <w:pPr>
        <w:pStyle w:val="6"/>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七、交货期：</w:t>
      </w:r>
      <w:r>
        <w:rPr>
          <w:rFonts w:hint="eastAsia" w:ascii="Times New Roman" w:hAnsi="Times New Roman" w:eastAsia="仿宋_GB2312" w:cs="Times New Roman"/>
          <w:kern w:val="2"/>
          <w:sz w:val="32"/>
          <w:szCs w:val="32"/>
        </w:rPr>
        <w:t>中标后按照采购人时间需求开始保险责任。</w:t>
      </w:r>
    </w:p>
    <w:p w14:paraId="1B496E89">
      <w:pPr>
        <w:pStyle w:val="6"/>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八、项目地点：</w:t>
      </w:r>
      <w:r>
        <w:rPr>
          <w:rFonts w:hint="eastAsia" w:ascii="Times New Roman" w:hAnsi="Times New Roman" w:eastAsia="仿宋_GB2312" w:cs="Times New Roman"/>
          <w:kern w:val="2"/>
          <w:sz w:val="32"/>
          <w:szCs w:val="32"/>
        </w:rPr>
        <w:t>采购人指定的地点。</w:t>
      </w:r>
    </w:p>
    <w:p w14:paraId="5C8B765C">
      <w:pPr>
        <w:pStyle w:val="6"/>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九、采购方在确定成交供应商后有权对投保人员数按实际情况及时调整。</w:t>
      </w:r>
      <w:r>
        <w:rPr>
          <w:rFonts w:hint="default" w:ascii="Times New Roman" w:hAnsi="Times New Roman" w:eastAsia="仿宋_GB2312" w:cs="Times New Roman"/>
          <w:kern w:val="2"/>
          <w:sz w:val="32"/>
          <w:szCs w:val="32"/>
        </w:rPr>
        <w:br w:type="textWrapping"/>
      </w:r>
      <w:r>
        <w:rPr>
          <w:rFonts w:hint="eastAsia" w:ascii="黑体" w:hAnsi="黑体" w:eastAsia="黑体" w:cs="黑体"/>
          <w:kern w:val="2"/>
          <w:sz w:val="32"/>
          <w:szCs w:val="32"/>
          <w:lang w:val="en-US" w:eastAsia="zh-CN" w:bidi="ar-SA"/>
        </w:rPr>
        <w:t xml:space="preserve">    十、服务要求：</w:t>
      </w:r>
    </w:p>
    <w:p w14:paraId="443AB133">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1、中标人（以下称“中标保险人”）、投保人、被保险人、受益人按照本项目保险协议的约定及《中华人民共和国保险法》的规定享有权利，承担义务。</w:t>
      </w:r>
    </w:p>
    <w:p w14:paraId="1A3584DB">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2、未经投保人同意，中标保险人不得将本项目所载义务、责任分出给其他保险公司承担。</w:t>
      </w:r>
    </w:p>
    <w:p w14:paraId="2C11B978">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3、中标保险人收到被保险人或者受益人的赔偿或者给付保险金的请求后，资料齐全情况下需在十日内作出核定，并将核定结果通知被保险人或者受益人。</w:t>
      </w:r>
    </w:p>
    <w:p w14:paraId="26D3F563">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4、对属于保险责任的，中标保险人需在与被保险人或者受益人达成有关赔偿或者给付保险金额的协议后，赔偿资料收齐十日内，履行赔偿或者给付保险金义务。</w:t>
      </w:r>
    </w:p>
    <w:p w14:paraId="3915CB40">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中标保险人自收到赔偿或者给付保险金的请求和有关证明、资料之日起六十日内，对其赔偿或者给付保险金的数额不能确定的，需根据已有证明和资料可以确定的最低数额先予支付；保险人最终确定赔偿或者给付保险金的数额后，需支付相应的差额。</w:t>
      </w:r>
    </w:p>
    <w:p w14:paraId="42262285">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6、中标保险人收到被保险人或者受益人的赔偿或者给付保险金的请求后，对不属于保险责任的，需向被保险人或者受益人发出拒绝赔偿或者拒绝给付保险金通知书及理由书。</w:t>
      </w:r>
    </w:p>
    <w:p w14:paraId="5688580D">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十一、责任免除</w:t>
      </w:r>
    </w:p>
    <w:p w14:paraId="06E708EB">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按保监会备案的标准条款。</w:t>
      </w:r>
    </w:p>
    <w:p w14:paraId="7E227D9D">
      <w:pPr>
        <w:pStyle w:val="6"/>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十二、出现下列情况之一者，投标文件无效，作为废标处理：</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）未提供营业执照有效复印件（加盖投标企业公章）。</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）响应文件字迹模糊不清（包括提交的各类复印件、图纸）。</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）响应内容、承保、理赔服务没有实质性响应询价文件要求。</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）未提供响应文件、报价一览表、服务体系说明及售后服务承诺。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45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9828">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BC994">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97BC994">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16CC">
    <w:pPr>
      <w:pStyle w:val="4"/>
      <w:ind w:firstLine="5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p w14:paraId="2A6DBB8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C980">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A4C7">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8228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6AB7">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BD71B"/>
    <w:multiLevelType w:val="singleLevel"/>
    <w:tmpl w:val="FADBD71B"/>
    <w:lvl w:ilvl="0" w:tentative="0">
      <w:start w:val="1"/>
      <w:numFmt w:val="chineseCounting"/>
      <w:suff w:val="nothing"/>
      <w:lvlText w:val="%1、"/>
      <w:lvlJc w:val="left"/>
      <w:rPr>
        <w:rFonts w:hint="eastAsia"/>
      </w:rPr>
    </w:lvl>
  </w:abstractNum>
  <w:abstractNum w:abstractNumId="1">
    <w:nsid w:val="3A9496ED"/>
    <w:multiLevelType w:val="singleLevel"/>
    <w:tmpl w:val="3A9496ED"/>
    <w:lvl w:ilvl="0" w:tentative="0">
      <w:start w:val="1"/>
      <w:numFmt w:val="decimal"/>
      <w:pStyle w:val="3"/>
      <w:suff w:val="nothing"/>
      <w:lvlText w:val="%1．"/>
      <w:lvlJc w:val="left"/>
      <w:pPr>
        <w:ind w:left="65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jZhZTA0YzIxZDFjMmQyZDI2MDkzMTVhOTFkMDIifQ=="/>
  </w:docVars>
  <w:rsids>
    <w:rsidRoot w:val="582062E9"/>
    <w:rsid w:val="000279D6"/>
    <w:rsid w:val="00214229"/>
    <w:rsid w:val="00247285"/>
    <w:rsid w:val="00417218"/>
    <w:rsid w:val="005B0E0A"/>
    <w:rsid w:val="006451FE"/>
    <w:rsid w:val="006C1A4F"/>
    <w:rsid w:val="006E5BF7"/>
    <w:rsid w:val="006F086F"/>
    <w:rsid w:val="007C172F"/>
    <w:rsid w:val="008B4A69"/>
    <w:rsid w:val="008F5CA0"/>
    <w:rsid w:val="00984301"/>
    <w:rsid w:val="00AA6D78"/>
    <w:rsid w:val="00B262F8"/>
    <w:rsid w:val="00C5204D"/>
    <w:rsid w:val="00D64506"/>
    <w:rsid w:val="00DF4D2A"/>
    <w:rsid w:val="00E16783"/>
    <w:rsid w:val="00E57C33"/>
    <w:rsid w:val="00FE743C"/>
    <w:rsid w:val="042D54C3"/>
    <w:rsid w:val="05BC3BF2"/>
    <w:rsid w:val="06FE01C0"/>
    <w:rsid w:val="0B01505D"/>
    <w:rsid w:val="0C457F79"/>
    <w:rsid w:val="10D6308E"/>
    <w:rsid w:val="114C1BE4"/>
    <w:rsid w:val="122B035C"/>
    <w:rsid w:val="1D5C4D3F"/>
    <w:rsid w:val="2302791D"/>
    <w:rsid w:val="28B7069B"/>
    <w:rsid w:val="2D7E38C2"/>
    <w:rsid w:val="2FB60662"/>
    <w:rsid w:val="37421D27"/>
    <w:rsid w:val="3FE12198"/>
    <w:rsid w:val="42165E9C"/>
    <w:rsid w:val="441C621A"/>
    <w:rsid w:val="49DC052E"/>
    <w:rsid w:val="4C2B5AA3"/>
    <w:rsid w:val="5038094C"/>
    <w:rsid w:val="519E7E0D"/>
    <w:rsid w:val="530F2B07"/>
    <w:rsid w:val="582062E9"/>
    <w:rsid w:val="5A014B90"/>
    <w:rsid w:val="5F9F1931"/>
    <w:rsid w:val="6040791D"/>
    <w:rsid w:val="67247A4A"/>
    <w:rsid w:val="6AA734C4"/>
    <w:rsid w:val="6FE3504E"/>
    <w:rsid w:val="74123F24"/>
    <w:rsid w:val="7CCA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rPr>
      <w:szCs w:val="24"/>
    </w:rPr>
  </w:style>
  <w:style w:type="paragraph" w:styleId="3">
    <w:name w:val="Body Text"/>
    <w:basedOn w:val="1"/>
    <w:next w:val="1"/>
    <w:qFormat/>
    <w:uiPriority w:val="99"/>
    <w:pPr>
      <w:numPr>
        <w:ilvl w:val="0"/>
        <w:numId w:val="1"/>
      </w:numPr>
    </w:pPr>
    <w:rPr>
      <w:rFonts w:ascii="Times New Roman" w:hAnsi="Times New Roman" w:eastAsia="宋体" w:cs="Times New Roman"/>
      <w:b/>
      <w:sz w:val="2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99"/>
    <w:pPr>
      <w:ind w:firstLine="420"/>
    </w:p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1449</Words>
  <Characters>1483</Characters>
  <Lines>13</Lines>
  <Paragraphs>3</Paragraphs>
  <TotalTime>0</TotalTime>
  <ScaleCrop>false</ScaleCrop>
  <LinksUpToDate>false</LinksUpToDate>
  <CharactersWithSpaces>1497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2023-05-05T02:56:00Z</dcterms:created>
  <dc:creator>海</dc:creator>
  <cp:lastModifiedBy>李玮</cp:lastModifiedBy>
  <dcterms:modified xsi:type="dcterms:W3CDTF">2025-06-30T03:55:34Z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EDF1F4F91D694656A81F8ED527E91FC5</vt:lpwstr>
  </property>
</Properties>
</file>