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ind w:left="142" w:leftChars="0"/>
        <w:jc w:val="left"/>
        <w:rPr>
          <w:rFonts w:hint="default" w:ascii="宋体" w:hAnsi="宋体"/>
          <w:b w:val="0"/>
          <w:bCs w:val="0"/>
          <w:sz w:val="28"/>
          <w:szCs w:val="28"/>
          <w:lang w:val="en-US" w:eastAsia="zh-CN"/>
        </w:rPr>
      </w:pPr>
      <w:r>
        <w:rPr>
          <w:rFonts w:hint="eastAsia" w:ascii="宋体" w:hAnsi="宋体"/>
          <w:b w:val="0"/>
          <w:bCs w:val="0"/>
          <w:sz w:val="28"/>
          <w:szCs w:val="28"/>
          <w:lang w:val="en-US" w:eastAsia="zh-CN"/>
        </w:rPr>
        <w:t>附件3</w:t>
      </w:r>
    </w:p>
    <w:p>
      <w:pPr>
        <w:numPr>
          <w:ilvl w:val="0"/>
          <w:numId w:val="0"/>
        </w:numPr>
        <w:spacing w:line="360" w:lineRule="auto"/>
        <w:ind w:left="142" w:leftChars="0"/>
        <w:jc w:val="center"/>
        <w:rPr>
          <w:rFonts w:ascii="宋体" w:hAnsi="宋体"/>
          <w:b/>
          <w:bCs/>
          <w:sz w:val="28"/>
          <w:szCs w:val="28"/>
        </w:rPr>
      </w:pPr>
      <w:r>
        <w:rPr>
          <w:rFonts w:hint="eastAsia" w:ascii="宋体" w:hAnsi="宋体"/>
          <w:b/>
          <w:bCs/>
          <w:sz w:val="28"/>
          <w:szCs w:val="28"/>
          <w:lang w:val="en-US" w:eastAsia="zh-CN"/>
        </w:rPr>
        <w:t>采购需求清单</w:t>
      </w:r>
    </w:p>
    <w:p>
      <w:pPr>
        <w:numPr>
          <w:ilvl w:val="1"/>
          <w:numId w:val="1"/>
        </w:numPr>
        <w:spacing w:line="360" w:lineRule="auto"/>
        <w:ind w:left="851" w:hanging="425"/>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总体要求</w:t>
      </w:r>
    </w:p>
    <w:p>
      <w:pPr>
        <w:spacing w:line="360" w:lineRule="auto"/>
        <w:ind w:firstLine="560" w:firstLineChars="200"/>
        <w:rPr>
          <w:rFonts w:hint="eastAsia" w:asciiTheme="minorEastAsia" w:hAnsiTheme="minorEastAsia" w:eastAsiaTheme="minorEastAsia" w:cstheme="minorEastAsia"/>
          <w:sz w:val="28"/>
          <w:szCs w:val="28"/>
        </w:rPr>
      </w:pPr>
      <w:r>
        <w:rPr>
          <w:rStyle w:val="10"/>
          <w:rFonts w:hint="eastAsia" w:asciiTheme="minorEastAsia" w:hAnsiTheme="minorEastAsia" w:eastAsiaTheme="minorEastAsia" w:cstheme="minorEastAsia"/>
          <w:b w:val="0"/>
          <w:color w:val="auto"/>
          <w:sz w:val="28"/>
          <w:szCs w:val="28"/>
          <w:u w:val="none"/>
        </w:rPr>
        <w:t>★</w:t>
      </w:r>
      <w:r>
        <w:rPr>
          <w:rFonts w:hint="eastAsia" w:asciiTheme="minorEastAsia" w:hAnsiTheme="minorEastAsia" w:eastAsiaTheme="minorEastAsia" w:cstheme="minorEastAsia"/>
          <w:sz w:val="28"/>
          <w:szCs w:val="28"/>
        </w:rPr>
        <w:t>（1）投标人必须是二级或以上医疗机构或从事体检服务的体检医疗机构，且具有提供体检食宿服务的能力</w:t>
      </w:r>
      <w:r>
        <w:rPr>
          <w:rFonts w:hint="eastAsia" w:asciiTheme="minorEastAsia" w:hAnsiTheme="minorEastAsia" w:eastAsiaTheme="minorEastAsia" w:cstheme="minorEastAsia"/>
          <w:sz w:val="28"/>
          <w:szCs w:val="28"/>
          <w:lang w:eastAsia="zh-CN"/>
        </w:rPr>
        <w:t>。</w:t>
      </w:r>
      <w:bookmarkStart w:id="4" w:name="_GoBack"/>
      <w:bookmarkEnd w:id="4"/>
      <w:r>
        <w:rPr>
          <w:rFonts w:hint="eastAsia" w:asciiTheme="minorEastAsia" w:hAnsiTheme="minorEastAsia" w:eastAsiaTheme="minorEastAsia" w:cstheme="minorEastAsia"/>
          <w:sz w:val="28"/>
          <w:szCs w:val="28"/>
        </w:rPr>
        <w:t>（提供报价供应商食品经营许可证</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医疗机构执业许可证扫描件</w:t>
      </w:r>
      <w:r>
        <w:rPr>
          <w:rFonts w:hint="eastAsia" w:asciiTheme="minorEastAsia" w:hAnsiTheme="minorEastAsia" w:eastAsiaTheme="minorEastAsia" w:cstheme="minorEastAsia"/>
          <w:sz w:val="28"/>
          <w:szCs w:val="28"/>
          <w:lang w:eastAsia="zh-CN"/>
        </w:rPr>
        <w:t>并盖章</w:t>
      </w:r>
      <w:r>
        <w:rPr>
          <w:rFonts w:hint="eastAsia" w:asciiTheme="minorEastAsia" w:hAnsiTheme="minorEastAsia" w:eastAsiaTheme="minorEastAsia" w:cstheme="minorEastAsia"/>
          <w:sz w:val="28"/>
          <w:szCs w:val="28"/>
        </w:rPr>
        <w:t>）</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（2）必须在投标人自有的体检中心体检。（提供承诺函）</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（3）投标人的体检中心及休养住宿场所要求在广州市内,且必须是在同一区域，步行距离不超1000米，且提供不少于100个免费停车位供体检人员使用。（提供承诺函及实体停车位照片等证明资料）</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（4）投标人必须是具有床位</w:t>
      </w:r>
      <w:r>
        <w:rPr>
          <w:rFonts w:hint="eastAsia" w:asciiTheme="minorEastAsia" w:hAnsiTheme="minorEastAsia" w:eastAsiaTheme="minorEastAsia" w:cstheme="minorEastAsia"/>
          <w:sz w:val="28"/>
          <w:szCs w:val="28"/>
          <w:lang w:val="en-US" w:eastAsia="zh-CN"/>
        </w:rPr>
        <w:t>200</w:t>
      </w:r>
      <w:r>
        <w:rPr>
          <w:rFonts w:hint="eastAsia" w:asciiTheme="minorEastAsia" w:hAnsiTheme="minorEastAsia" w:eastAsiaTheme="minorEastAsia" w:cstheme="minorEastAsia"/>
          <w:sz w:val="28"/>
          <w:szCs w:val="28"/>
        </w:rPr>
        <w:t>个或以上的医疗机构，同时要具有健康保健、休闲住宿、康体活动等配套功能。（提供承诺函及照片等证明资料）</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（5）投标人健康体检场所位置：响应“禁止受检者和患者共检”号召，要求有独立的体检中心，所有仪器设备人员为体检专用，远离病人就诊或住院区域50米以上，面积达到2000平方米以上。</w:t>
      </w:r>
    </w:p>
    <w:p>
      <w:pPr>
        <w:spacing w:line="360" w:lineRule="auto"/>
        <w:ind w:firstLine="560" w:firstLineChars="200"/>
        <w:rPr>
          <w:rFonts w:hint="eastAsia" w:asciiTheme="minorEastAsia" w:hAnsiTheme="minorEastAsia" w:eastAsiaTheme="minorEastAsia" w:cstheme="minorEastAsia"/>
          <w:sz w:val="28"/>
          <w:szCs w:val="28"/>
          <w:shd w:val="clear" w:color="050000" w:fill="auto"/>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）投标人的体检中心设备先进，且设备检测状况良好，能够提供本体检项目的B超（彩色B超）不少于10台（含10台）；胸透DR设备不少于2台（含2台）；</w:t>
      </w:r>
      <w:r>
        <w:rPr>
          <w:rFonts w:hint="eastAsia" w:asciiTheme="minorEastAsia" w:hAnsiTheme="minorEastAsia" w:eastAsiaTheme="minorEastAsia" w:cstheme="minorEastAsia"/>
          <w:sz w:val="28"/>
          <w:szCs w:val="28"/>
          <w:shd w:val="clear" w:color="050000" w:fill="auto"/>
        </w:rPr>
        <w:t>CT设备不少于1台。</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050000" w:fill="auto"/>
        </w:rPr>
        <w:t>　　（</w:t>
      </w:r>
      <w:r>
        <w:rPr>
          <w:rFonts w:hint="eastAsia" w:asciiTheme="minorEastAsia" w:hAnsiTheme="minorEastAsia" w:eastAsiaTheme="minorEastAsia" w:cstheme="minorEastAsia"/>
          <w:sz w:val="28"/>
          <w:szCs w:val="28"/>
          <w:shd w:val="clear" w:color="050000" w:fill="auto"/>
          <w:lang w:val="en-US" w:eastAsia="zh-CN"/>
        </w:rPr>
        <w:t>7</w:t>
      </w:r>
      <w:r>
        <w:rPr>
          <w:rFonts w:hint="eastAsia" w:asciiTheme="minorEastAsia" w:hAnsiTheme="minorEastAsia" w:eastAsiaTheme="minorEastAsia" w:cstheme="minorEastAsia"/>
          <w:sz w:val="28"/>
          <w:szCs w:val="28"/>
          <w:shd w:val="clear" w:color="050000" w:fill="auto"/>
        </w:rPr>
        <w:t>）投入医护人员不少于40名</w:t>
      </w:r>
      <w:r>
        <w:rPr>
          <w:rFonts w:hint="eastAsia" w:asciiTheme="minorEastAsia" w:hAnsiTheme="minorEastAsia" w:eastAsiaTheme="minorEastAsia" w:cstheme="minorEastAsia"/>
          <w:sz w:val="28"/>
          <w:szCs w:val="28"/>
        </w:rPr>
        <w:t>，其中副主任级别以上医生不少于15名。</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体检所用医疗设备、器材、卫生材料及试剂均是通过具备医疗器械（或药品）经营许可证的公司采购的具备医疗器械（或药品）注册证的产品，设备器材均按规定定期参加各级市场监督管理局的计量检查，确保体检结果的可靠性。</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）投标人的体检中心检验科及放射室均具国家相关许可资格，并建立完整的质量控制体系，确保检验结果的准确性。</w:t>
      </w:r>
    </w:p>
    <w:p>
      <w:pPr>
        <w:spacing w:line="360" w:lineRule="auto"/>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）体检质量达到医学行业标准，检验室需参加广东省或省级以上的室间质控，并提供依据。</w:t>
      </w:r>
    </w:p>
    <w:p>
      <w:pPr>
        <w:spacing w:line="360" w:lineRule="auto"/>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11</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本项目不接受联合体报价。</w:t>
      </w:r>
    </w:p>
    <w:p>
      <w:pPr>
        <w:numPr>
          <w:ilvl w:val="1"/>
          <w:numId w:val="1"/>
        </w:numPr>
        <w:spacing w:line="360" w:lineRule="auto"/>
        <w:ind w:left="851" w:hanging="425"/>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体检服务要求</w:t>
      </w:r>
    </w:p>
    <w:p>
      <w:pPr>
        <w:keepNext w:val="0"/>
        <w:keepLines w:val="0"/>
        <w:pageBreakBefore w:val="0"/>
        <w:widowControl w:val="0"/>
        <w:tabs>
          <w:tab w:val="left" w:pos="426"/>
        </w:tabs>
        <w:kinsoku/>
        <w:wordWrap/>
        <w:overflowPunct/>
        <w:topLinePunct w:val="0"/>
        <w:autoSpaceDE/>
        <w:autoSpaceDN/>
        <w:bidi w:val="0"/>
        <w:snapToGrid/>
        <w:spacing w:line="360" w:lineRule="auto"/>
        <w:ind w:firstLine="560" w:firstLineChars="200"/>
        <w:rPr>
          <w:rFonts w:hint="eastAsia" w:asciiTheme="minorEastAsia" w:hAnsiTheme="minorEastAsia" w:eastAsiaTheme="minorEastAsia" w:cstheme="minorEastAsia"/>
          <w:color w:val="auto"/>
          <w:sz w:val="28"/>
          <w:szCs w:val="28"/>
          <w:shd w:val="clear" w:color="050000" w:fill="auto"/>
        </w:rPr>
      </w:pPr>
      <w:r>
        <w:rPr>
          <w:rFonts w:hint="eastAsia" w:asciiTheme="minorEastAsia" w:hAnsiTheme="minorEastAsia" w:eastAsiaTheme="minorEastAsia" w:cstheme="minorEastAsia"/>
          <w:color w:val="auto"/>
          <w:sz w:val="28"/>
          <w:szCs w:val="28"/>
          <w:shd w:val="clear" w:color="050000" w:fill="auto"/>
        </w:rPr>
        <w:t>（1）体检医院须设采购人体检专场，体检计划在</w:t>
      </w:r>
      <w:r>
        <w:rPr>
          <w:rFonts w:hint="eastAsia" w:asciiTheme="minorEastAsia" w:hAnsiTheme="minorEastAsia" w:eastAsiaTheme="minorEastAsia" w:cstheme="minorEastAsia"/>
          <w:color w:val="auto"/>
          <w:sz w:val="28"/>
          <w:szCs w:val="28"/>
          <w:u w:val="none"/>
          <w:shd w:val="clear" w:color="050000" w:fill="auto"/>
        </w:rPr>
        <w:t xml:space="preserve"> </w:t>
      </w:r>
      <w:r>
        <w:rPr>
          <w:rFonts w:hint="eastAsia" w:asciiTheme="minorEastAsia" w:hAnsiTheme="minorEastAsia" w:eastAsiaTheme="minorEastAsia" w:cstheme="minorEastAsia"/>
          <w:color w:val="auto"/>
          <w:sz w:val="28"/>
          <w:szCs w:val="28"/>
          <w:u w:val="none"/>
          <w:shd w:val="clear" w:color="050000" w:fill="auto"/>
          <w:lang w:val="en-US" w:eastAsia="zh-CN"/>
        </w:rPr>
        <w:t>5</w:t>
      </w:r>
      <w:r>
        <w:rPr>
          <w:rFonts w:hint="eastAsia" w:asciiTheme="minorEastAsia" w:hAnsiTheme="minorEastAsia" w:eastAsiaTheme="minorEastAsia" w:cstheme="minorEastAsia"/>
          <w:color w:val="auto"/>
          <w:sz w:val="28"/>
          <w:szCs w:val="28"/>
          <w:u w:val="none"/>
          <w:shd w:val="clear" w:color="050000" w:fill="auto"/>
        </w:rPr>
        <w:t xml:space="preserve"> </w:t>
      </w:r>
      <w:r>
        <w:rPr>
          <w:rFonts w:hint="eastAsia" w:asciiTheme="minorEastAsia" w:hAnsiTheme="minorEastAsia" w:eastAsiaTheme="minorEastAsia" w:cstheme="minorEastAsia"/>
          <w:color w:val="auto"/>
          <w:sz w:val="28"/>
          <w:szCs w:val="28"/>
          <w:shd w:val="clear" w:color="050000" w:fill="auto"/>
        </w:rPr>
        <w:t>个月内分批进行，每批次体检要求在次日11：30前完成所有人员的体检项目。具体时间和批次中标后与供应商具体商定。</w:t>
      </w:r>
    </w:p>
    <w:p>
      <w:pPr>
        <w:keepNext w:val="0"/>
        <w:keepLines w:val="0"/>
        <w:pageBreakBefore w:val="0"/>
        <w:widowControl w:val="0"/>
        <w:tabs>
          <w:tab w:val="left" w:pos="426"/>
        </w:tabs>
        <w:kinsoku/>
        <w:wordWrap/>
        <w:overflowPunct/>
        <w:topLinePunct w:val="0"/>
        <w:autoSpaceDE/>
        <w:autoSpaceDN/>
        <w:bidi w:val="0"/>
        <w:snapToGrid/>
        <w:spacing w:line="360" w:lineRule="auto"/>
        <w:ind w:firstLine="560" w:firstLineChars="200"/>
        <w:rPr>
          <w:rFonts w:hint="eastAsia" w:asciiTheme="minorEastAsia" w:hAnsiTheme="minorEastAsia" w:eastAsiaTheme="minorEastAsia" w:cstheme="minorEastAsia"/>
          <w:sz w:val="28"/>
          <w:szCs w:val="28"/>
          <w:shd w:val="clear" w:color="050000" w:fill="auto"/>
        </w:rPr>
      </w:pPr>
      <w:r>
        <w:rPr>
          <w:rFonts w:hint="eastAsia" w:asciiTheme="minorEastAsia" w:hAnsiTheme="minorEastAsia" w:eastAsiaTheme="minorEastAsia" w:cstheme="minorEastAsia"/>
          <w:sz w:val="28"/>
          <w:szCs w:val="28"/>
          <w:shd w:val="clear" w:color="050000" w:fill="auto"/>
        </w:rPr>
        <w:t>（2）在体检区域内须有清晰准确的体检引导标志牌和体检导诊员，导诊员负责体检现场统筹工作，并对体检过程中发生的事故进行及时有效地处理，以保证体检工作按时有序地完成。同时应做好体检资料的制作、管理和发放（包括体检表、体检须知），如采购人不慎遗失体检表或因工作调动等原因漏报体检人员，中标人应予及时补发。</w:t>
      </w:r>
    </w:p>
    <w:p>
      <w:pPr>
        <w:pStyle w:val="13"/>
        <w:keepNext w:val="0"/>
        <w:keepLines w:val="0"/>
        <w:pageBreakBefore w:val="0"/>
        <w:widowControl w:val="0"/>
        <w:kinsoku/>
        <w:wordWrap/>
        <w:overflowPunct/>
        <w:topLinePunct w:val="0"/>
        <w:autoSpaceDE/>
        <w:autoSpaceDN/>
        <w:bidi w:val="0"/>
        <w:snapToGrid/>
        <w:spacing w:line="360" w:lineRule="auto"/>
        <w:ind w:firstLine="560" w:firstLineChars="200"/>
        <w:rPr>
          <w:rFonts w:hint="eastAsia" w:asciiTheme="minorEastAsia" w:hAnsiTheme="minorEastAsia" w:eastAsiaTheme="minorEastAsia" w:cstheme="minorEastAsia"/>
          <w:sz w:val="28"/>
          <w:szCs w:val="28"/>
          <w:shd w:val="clear" w:color="050000" w:fill="auto"/>
        </w:rPr>
      </w:pPr>
      <w:r>
        <w:rPr>
          <w:rFonts w:hint="eastAsia" w:asciiTheme="minorEastAsia" w:hAnsiTheme="minorEastAsia" w:eastAsiaTheme="minorEastAsia" w:cstheme="minorEastAsia"/>
          <w:sz w:val="28"/>
          <w:szCs w:val="28"/>
          <w:shd w:val="clear" w:color="050000" w:fill="auto"/>
        </w:rPr>
        <w:t>（3）中标人在体检期间须派驻一名具有高级职称的内科医生作为现场咨询专家，要求专家耐心细致，能认真回答体检员工的相关疑问。</w:t>
      </w:r>
    </w:p>
    <w:p>
      <w:pPr>
        <w:keepNext w:val="0"/>
        <w:keepLines w:val="0"/>
        <w:pageBreakBefore w:val="0"/>
        <w:widowControl w:val="0"/>
        <w:tabs>
          <w:tab w:val="left" w:pos="426"/>
        </w:tabs>
        <w:kinsoku/>
        <w:wordWrap/>
        <w:overflowPunct/>
        <w:topLinePunct w:val="0"/>
        <w:autoSpaceDE/>
        <w:autoSpaceDN/>
        <w:bidi w:val="0"/>
        <w:snapToGrid/>
        <w:spacing w:line="360" w:lineRule="auto"/>
        <w:ind w:firstLine="560" w:firstLineChars="200"/>
        <w:rPr>
          <w:rFonts w:hint="eastAsia" w:asciiTheme="minorEastAsia" w:hAnsiTheme="minorEastAsia" w:eastAsiaTheme="minorEastAsia" w:cstheme="minorEastAsia"/>
          <w:color w:val="auto"/>
          <w:sz w:val="28"/>
          <w:szCs w:val="28"/>
          <w:shd w:val="clear" w:color="050000" w:fill="auto"/>
        </w:rPr>
      </w:pPr>
      <w:r>
        <w:rPr>
          <w:rFonts w:hint="eastAsia" w:asciiTheme="minorEastAsia" w:hAnsiTheme="minorEastAsia" w:eastAsiaTheme="minorEastAsia" w:cstheme="minorEastAsia"/>
          <w:sz w:val="28"/>
          <w:szCs w:val="28"/>
          <w:shd w:val="clear" w:color="050000" w:fill="auto"/>
        </w:rPr>
        <w:t>（4）中标人应对体检结果负责。体检医院要由副主任级以上医生填写每人的健康体检报告，体检报告应包括：总检报告或信息汇总，体检结果建议或体检指南内容、实验室检查项目检验原始单据（并列明检验方法）等内容。体检报告应提供纸质版本和电子版本，其中纸质版本由体检医院盖章出具报告（内容包括检验结果及建议），</w:t>
      </w:r>
      <w:r>
        <w:rPr>
          <w:rFonts w:hint="eastAsia" w:asciiTheme="minorEastAsia" w:hAnsiTheme="minorEastAsia" w:eastAsiaTheme="minorEastAsia" w:cstheme="minorEastAsia"/>
          <w:color w:val="auto"/>
          <w:sz w:val="28"/>
          <w:szCs w:val="28"/>
          <w:shd w:val="clear" w:color="050000" w:fill="auto"/>
        </w:rPr>
        <w:t>以书面、密封的形式于体检后3周内送达采购人办公室。未征得采购人的同意，中标人不得将体检结果告诉第三人。</w:t>
      </w:r>
      <w:r>
        <w:rPr>
          <w:rFonts w:hint="eastAsia" w:asciiTheme="minorEastAsia" w:hAnsiTheme="minorEastAsia" w:eastAsiaTheme="minorEastAsia" w:cstheme="minorEastAsia"/>
          <w:b/>
          <w:color w:val="auto"/>
          <w:sz w:val="28"/>
          <w:szCs w:val="28"/>
          <w:shd w:val="clear" w:color="050000" w:fill="auto"/>
        </w:rPr>
        <w:t>（提供承诺书加盖公章，格式自拟）</w:t>
      </w:r>
    </w:p>
    <w:p>
      <w:pPr>
        <w:keepNext w:val="0"/>
        <w:keepLines w:val="0"/>
        <w:pageBreakBefore w:val="0"/>
        <w:widowControl w:val="0"/>
        <w:tabs>
          <w:tab w:val="left" w:pos="426"/>
        </w:tabs>
        <w:kinsoku/>
        <w:wordWrap/>
        <w:overflowPunct/>
        <w:topLinePunct w:val="0"/>
        <w:autoSpaceDE/>
        <w:autoSpaceDN/>
        <w:bidi w:val="0"/>
        <w:snapToGrid/>
        <w:spacing w:line="360" w:lineRule="auto"/>
        <w:ind w:firstLine="560" w:firstLineChars="200"/>
        <w:rPr>
          <w:rFonts w:hint="eastAsia" w:asciiTheme="minorEastAsia" w:hAnsiTheme="minorEastAsia" w:eastAsiaTheme="minorEastAsia" w:cstheme="minorEastAsia"/>
          <w:sz w:val="28"/>
          <w:szCs w:val="28"/>
          <w:shd w:val="clear" w:color="050000" w:fill="auto"/>
        </w:rPr>
      </w:pPr>
      <w:r>
        <w:rPr>
          <w:rFonts w:hint="eastAsia" w:asciiTheme="minorEastAsia" w:hAnsiTheme="minorEastAsia" w:eastAsiaTheme="minorEastAsia" w:cstheme="minorEastAsia"/>
          <w:sz w:val="28"/>
          <w:szCs w:val="28"/>
          <w:shd w:val="clear" w:color="050000" w:fill="auto"/>
        </w:rPr>
        <w:t>（5）体检全部结束后，体检医院须根据体检情况写出书面总结（附各病种异常率、疾病发病率的人员统计等）。写出分析报告并提出相关建议。全体参检人员各病症异常率、各分项统计报告、总体统计报告、疾病患病的统计。</w:t>
      </w:r>
    </w:p>
    <w:p>
      <w:pPr>
        <w:keepNext w:val="0"/>
        <w:keepLines w:val="0"/>
        <w:pageBreakBefore w:val="0"/>
        <w:widowControl w:val="0"/>
        <w:tabs>
          <w:tab w:val="left" w:pos="426"/>
        </w:tabs>
        <w:kinsoku/>
        <w:wordWrap/>
        <w:overflowPunct/>
        <w:topLinePunct w:val="0"/>
        <w:autoSpaceDE/>
        <w:autoSpaceDN/>
        <w:bidi w:val="0"/>
        <w:snapToGrid/>
        <w:spacing w:line="360" w:lineRule="auto"/>
        <w:ind w:firstLine="560" w:firstLineChars="200"/>
        <w:rPr>
          <w:rFonts w:hint="eastAsia" w:asciiTheme="minorEastAsia" w:hAnsiTheme="minorEastAsia" w:eastAsiaTheme="minorEastAsia" w:cstheme="minorEastAsia"/>
          <w:sz w:val="28"/>
          <w:szCs w:val="28"/>
          <w:shd w:val="clear" w:color="050000" w:fill="auto"/>
        </w:rPr>
      </w:pPr>
      <w:r>
        <w:rPr>
          <w:rFonts w:hint="eastAsia" w:asciiTheme="minorEastAsia" w:hAnsiTheme="minorEastAsia" w:eastAsiaTheme="minorEastAsia" w:cstheme="minorEastAsia"/>
          <w:sz w:val="28"/>
          <w:szCs w:val="28"/>
          <w:shd w:val="clear" w:color="050000" w:fill="auto"/>
        </w:rPr>
        <w:t>（6）体检医院须按要求建立健康档案，健康档案包括纸质文档和电子文档。电子文档由体检医院于每批体检结束后将体检的所有数据（包括人员信息、化验单、检查结果、体检总评、专家意见等）用数据库Excel 表格录入。同时，电子文档提交一份给采购人单位备份，以便采购人对参检人员的健康资料、体检情况、病种等随时调用、筛选、统计归类，进行动态跟踪。</w:t>
      </w:r>
    </w:p>
    <w:p>
      <w:pPr>
        <w:keepNext w:val="0"/>
        <w:keepLines w:val="0"/>
        <w:pageBreakBefore w:val="0"/>
        <w:widowControl w:val="0"/>
        <w:tabs>
          <w:tab w:val="left" w:pos="426"/>
        </w:tabs>
        <w:kinsoku/>
        <w:wordWrap/>
        <w:overflowPunct/>
        <w:topLinePunct w:val="0"/>
        <w:autoSpaceDE/>
        <w:autoSpaceDN/>
        <w:bidi w:val="0"/>
        <w:snapToGrid/>
        <w:spacing w:line="360" w:lineRule="auto"/>
        <w:ind w:firstLine="560" w:firstLineChars="200"/>
        <w:rPr>
          <w:rFonts w:hint="eastAsia" w:asciiTheme="minorEastAsia" w:hAnsiTheme="minorEastAsia" w:eastAsiaTheme="minorEastAsia" w:cstheme="minorEastAsia"/>
          <w:sz w:val="28"/>
          <w:szCs w:val="28"/>
          <w:shd w:val="clear" w:color="050000" w:fill="auto"/>
        </w:rPr>
      </w:pPr>
      <w:r>
        <w:rPr>
          <w:rFonts w:hint="eastAsia" w:asciiTheme="minorEastAsia" w:hAnsiTheme="minorEastAsia" w:eastAsiaTheme="minorEastAsia" w:cstheme="minorEastAsia"/>
          <w:sz w:val="28"/>
          <w:szCs w:val="28"/>
          <w:shd w:val="clear" w:color="050000" w:fill="auto"/>
        </w:rPr>
        <w:t>（7）体检过程中，如遇发现疑似恶性肿瘤、传染病（如结核病）等特殊情况，中标服务商应立即通知采购人，对可疑病例要复查的，复查名单及内容通知其个人及采购单位联系人。</w:t>
      </w:r>
    </w:p>
    <w:p>
      <w:pPr>
        <w:pStyle w:val="13"/>
        <w:keepNext w:val="0"/>
        <w:keepLines w:val="0"/>
        <w:pageBreakBefore w:val="0"/>
        <w:widowControl w:val="0"/>
        <w:kinsoku/>
        <w:wordWrap/>
        <w:overflowPunct/>
        <w:topLinePunct w:val="0"/>
        <w:autoSpaceDE/>
        <w:autoSpaceDN/>
        <w:bidi w:val="0"/>
        <w:snapToGrid/>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中标服务商承诺未按服务项目要求完成或完成不彻底，须按要求重新安排体检，且采购人有权扣减合同付款金额直至终止合约，由此造成的一切后果由中标服务商承担。中标服务商在服务期间由于自身责任造成采购人的一切损失，由中标服务商负责赔偿。</w:t>
      </w:r>
    </w:p>
    <w:p>
      <w:pPr>
        <w:keepNext w:val="0"/>
        <w:keepLines w:val="0"/>
        <w:pageBreakBefore w:val="0"/>
        <w:widowControl w:val="0"/>
        <w:tabs>
          <w:tab w:val="left" w:pos="426"/>
        </w:tabs>
        <w:kinsoku/>
        <w:wordWrap/>
        <w:overflowPunct/>
        <w:topLinePunct w:val="0"/>
        <w:autoSpaceDE/>
        <w:autoSpaceDN/>
        <w:bidi w:val="0"/>
        <w:snapToGrid/>
        <w:spacing w:line="360" w:lineRule="auto"/>
        <w:ind w:firstLine="560" w:firstLineChars="200"/>
        <w:rPr>
          <w:rFonts w:hint="eastAsia" w:asciiTheme="minorEastAsia" w:hAnsiTheme="minorEastAsia" w:eastAsiaTheme="minorEastAsia" w:cstheme="minorEastAsia"/>
          <w:sz w:val="28"/>
          <w:szCs w:val="28"/>
          <w:shd w:val="clear" w:color="050000" w:fill="auto"/>
        </w:rPr>
      </w:pPr>
      <w:r>
        <w:rPr>
          <w:rFonts w:hint="eastAsia" w:asciiTheme="minorEastAsia" w:hAnsiTheme="minorEastAsia" w:eastAsiaTheme="minorEastAsia" w:cstheme="minorEastAsia"/>
          <w:sz w:val="28"/>
          <w:szCs w:val="28"/>
          <w:shd w:val="clear" w:color="050000" w:fill="auto"/>
        </w:rPr>
        <w:t>（9）增值服务：针对采购人于检后对参检人员异常结果一对一讲解及开展健康讲座。</w:t>
      </w:r>
    </w:p>
    <w:p>
      <w:pPr>
        <w:keepNext w:val="0"/>
        <w:keepLines w:val="0"/>
        <w:pageBreakBefore w:val="0"/>
        <w:widowControl w:val="0"/>
        <w:tabs>
          <w:tab w:val="left" w:pos="426"/>
        </w:tabs>
        <w:kinsoku/>
        <w:wordWrap/>
        <w:overflowPunct/>
        <w:topLinePunct w:val="0"/>
        <w:autoSpaceDE/>
        <w:autoSpaceDN/>
        <w:bidi w:val="0"/>
        <w:snapToGrid/>
        <w:spacing w:line="360" w:lineRule="auto"/>
        <w:ind w:firstLine="560" w:firstLineChars="200"/>
        <w:rPr>
          <w:rFonts w:hint="eastAsia" w:asciiTheme="minorEastAsia" w:hAnsiTheme="minorEastAsia" w:eastAsiaTheme="minorEastAsia" w:cstheme="minorEastAsia"/>
          <w:sz w:val="28"/>
          <w:szCs w:val="28"/>
          <w:shd w:val="clear" w:color="050000" w:fill="auto"/>
        </w:rPr>
      </w:pPr>
      <w:r>
        <w:rPr>
          <w:rFonts w:hint="eastAsia" w:asciiTheme="minorEastAsia" w:hAnsiTheme="minorEastAsia" w:eastAsiaTheme="minorEastAsia" w:cstheme="minorEastAsia"/>
          <w:sz w:val="28"/>
          <w:szCs w:val="28"/>
          <w:shd w:val="clear" w:color="050000" w:fill="auto"/>
        </w:rPr>
        <w:t>（10）中标后不得将体检业务转包、分包给其他单位。</w:t>
      </w:r>
    </w:p>
    <w:p>
      <w:pPr>
        <w:numPr>
          <w:ilvl w:val="1"/>
          <w:numId w:val="1"/>
        </w:numPr>
        <w:spacing w:line="360" w:lineRule="auto"/>
        <w:ind w:left="851" w:hanging="425"/>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食住服务要求</w:t>
      </w:r>
    </w:p>
    <w:p>
      <w:pPr>
        <w:keepNext w:val="0"/>
        <w:keepLines w:val="0"/>
        <w:pageBreakBefore w:val="0"/>
        <w:widowControl w:val="0"/>
        <w:tabs>
          <w:tab w:val="left" w:pos="426"/>
        </w:tabs>
        <w:kinsoku/>
        <w:wordWrap/>
        <w:overflowPunct/>
        <w:topLinePunct w:val="0"/>
        <w:autoSpaceDE/>
        <w:autoSpaceDN/>
        <w:bidi w:val="0"/>
        <w:adjustRightInd w:val="0"/>
        <w:snapToGrid/>
        <w:spacing w:line="360" w:lineRule="auto"/>
        <w:ind w:firstLine="560" w:firstLineChars="200"/>
        <w:textAlignment w:val="baseline"/>
        <w:rPr>
          <w:rFonts w:hint="eastAsia" w:asciiTheme="minorEastAsia" w:hAnsiTheme="minorEastAsia" w:eastAsiaTheme="minorEastAsia" w:cstheme="minorEastAsia"/>
          <w:sz w:val="28"/>
          <w:szCs w:val="28"/>
          <w:shd w:val="clear" w:color="050000" w:fill="auto"/>
        </w:rPr>
      </w:pPr>
      <w:r>
        <w:rPr>
          <w:rFonts w:hint="eastAsia" w:asciiTheme="minorEastAsia" w:hAnsiTheme="minorEastAsia" w:eastAsiaTheme="minorEastAsia" w:cstheme="minorEastAsia"/>
          <w:sz w:val="28"/>
          <w:szCs w:val="28"/>
          <w:shd w:val="clear" w:color="050000" w:fill="auto"/>
        </w:rPr>
        <w:t>（1）每批次休养体检期为两天一晚，由中标方负责提供食宿，每批次接待休养人员不少于</w:t>
      </w:r>
      <w:r>
        <w:rPr>
          <w:rFonts w:hint="eastAsia" w:asciiTheme="minorEastAsia" w:hAnsiTheme="minorEastAsia" w:eastAsiaTheme="minorEastAsia" w:cstheme="minorEastAsia"/>
          <w:sz w:val="28"/>
          <w:szCs w:val="28"/>
          <w:shd w:val="clear" w:color="050000" w:fill="auto"/>
          <w:lang w:val="en-US" w:eastAsia="zh-CN"/>
        </w:rPr>
        <w:t>100</w:t>
      </w:r>
      <w:r>
        <w:rPr>
          <w:rFonts w:hint="eastAsia" w:asciiTheme="minorEastAsia" w:hAnsiTheme="minorEastAsia" w:eastAsiaTheme="minorEastAsia" w:cstheme="minorEastAsia"/>
          <w:sz w:val="28"/>
          <w:szCs w:val="28"/>
          <w:shd w:val="clear" w:color="050000" w:fill="auto"/>
        </w:rPr>
        <w:t>人。</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050000" w:fill="auto"/>
        </w:rPr>
        <w:t>（2）</w:t>
      </w:r>
      <w:r>
        <w:rPr>
          <w:rFonts w:hint="eastAsia" w:asciiTheme="minorEastAsia" w:hAnsiTheme="minorEastAsia" w:eastAsiaTheme="minorEastAsia" w:cstheme="minorEastAsia"/>
          <w:sz w:val="28"/>
          <w:szCs w:val="28"/>
        </w:rPr>
        <w:t>以酒店标准提供服务，</w:t>
      </w:r>
      <w:r>
        <w:rPr>
          <w:rFonts w:hint="eastAsia" w:asciiTheme="minorEastAsia" w:hAnsiTheme="minorEastAsia" w:eastAsiaTheme="minorEastAsia" w:cstheme="minorEastAsia"/>
          <w:sz w:val="28"/>
          <w:szCs w:val="28"/>
          <w:shd w:val="clear" w:color="050000" w:fill="auto"/>
        </w:rPr>
        <w:t>住宿设施条件要求干净、舒适、配有独立空调、卫生间、电视机、互联网、矿泉水等配备。</w:t>
      </w:r>
    </w:p>
    <w:p>
      <w:pPr>
        <w:keepNext w:val="0"/>
        <w:keepLines w:val="0"/>
        <w:pageBreakBefore w:val="0"/>
        <w:widowControl w:val="0"/>
        <w:tabs>
          <w:tab w:val="left" w:pos="426"/>
        </w:tabs>
        <w:kinsoku/>
        <w:wordWrap/>
        <w:overflowPunct/>
        <w:topLinePunct w:val="0"/>
        <w:autoSpaceDE/>
        <w:autoSpaceDN/>
        <w:bidi w:val="0"/>
        <w:adjustRightInd w:val="0"/>
        <w:snapToGrid/>
        <w:spacing w:line="360" w:lineRule="auto"/>
        <w:ind w:firstLine="560" w:firstLineChars="200"/>
        <w:textAlignment w:val="baseline"/>
        <w:rPr>
          <w:rFonts w:hint="eastAsia" w:asciiTheme="minorEastAsia" w:hAnsiTheme="minorEastAsia" w:eastAsiaTheme="minorEastAsia" w:cstheme="minorEastAsia"/>
          <w:color w:val="auto"/>
          <w:sz w:val="28"/>
          <w:szCs w:val="28"/>
          <w:shd w:val="clear" w:color="050000" w:fill="auto"/>
        </w:rPr>
      </w:pPr>
      <w:r>
        <w:rPr>
          <w:rFonts w:hint="eastAsia" w:asciiTheme="minorEastAsia" w:hAnsiTheme="minorEastAsia" w:eastAsiaTheme="minorEastAsia" w:cstheme="minorEastAsia"/>
          <w:sz w:val="28"/>
          <w:szCs w:val="28"/>
          <w:shd w:val="clear" w:color="050000" w:fill="auto"/>
        </w:rPr>
        <w:t>（3）用餐要求</w:t>
      </w:r>
      <w:r>
        <w:rPr>
          <w:rFonts w:hint="eastAsia" w:asciiTheme="minorEastAsia" w:hAnsiTheme="minorEastAsia" w:eastAsiaTheme="minorEastAsia" w:cstheme="minorEastAsia"/>
          <w:sz w:val="28"/>
          <w:szCs w:val="28"/>
        </w:rPr>
        <w:t>具有供</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00人或以上同时用餐的餐位，具有食品药品监督管理部门核发的《食品经营许可证》，</w:t>
      </w:r>
      <w:r>
        <w:rPr>
          <w:rFonts w:hint="eastAsia" w:asciiTheme="minorEastAsia" w:hAnsiTheme="minorEastAsia" w:eastAsiaTheme="minorEastAsia" w:cstheme="minorEastAsia"/>
          <w:color w:val="auto"/>
          <w:sz w:val="28"/>
          <w:szCs w:val="28"/>
          <w:shd w:val="clear" w:color="050000" w:fill="auto"/>
        </w:rPr>
        <w:t>餐饮包括【</w:t>
      </w:r>
      <w:r>
        <w:rPr>
          <w:rFonts w:hint="eastAsia" w:asciiTheme="minorEastAsia" w:hAnsiTheme="minorEastAsia" w:eastAsiaTheme="minorEastAsia" w:cstheme="minorEastAsia"/>
          <w:color w:val="auto"/>
          <w:sz w:val="28"/>
          <w:szCs w:val="28"/>
          <w:shd w:val="clear" w:color="050000" w:fill="auto"/>
          <w:lang w:eastAsia="zh-CN"/>
        </w:rPr>
        <w:t>三</w:t>
      </w:r>
      <w:r>
        <w:rPr>
          <w:rFonts w:hint="eastAsia" w:asciiTheme="minorEastAsia" w:hAnsiTheme="minorEastAsia" w:eastAsiaTheme="minorEastAsia" w:cstheme="minorEastAsia"/>
          <w:color w:val="auto"/>
          <w:sz w:val="28"/>
          <w:szCs w:val="28"/>
          <w:shd w:val="clear" w:color="050000" w:fill="auto"/>
        </w:rPr>
        <w:t>正餐一早餐】，由中标方负责提供。早餐每份价值需冷热丰富，正餐是围餐（10人/围）每天正餐菜式应有所不同，荤素搭配合理，营养充足，保质保量。</w:t>
      </w:r>
    </w:p>
    <w:p>
      <w:pPr>
        <w:keepNext w:val="0"/>
        <w:keepLines w:val="0"/>
        <w:pageBreakBefore w:val="0"/>
        <w:widowControl w:val="0"/>
        <w:tabs>
          <w:tab w:val="left" w:pos="426"/>
        </w:tabs>
        <w:kinsoku/>
        <w:wordWrap/>
        <w:overflowPunct/>
        <w:topLinePunct w:val="0"/>
        <w:autoSpaceDE/>
        <w:autoSpaceDN/>
        <w:bidi w:val="0"/>
        <w:adjustRightInd w:val="0"/>
        <w:snapToGrid/>
        <w:spacing w:line="360" w:lineRule="auto"/>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sz w:val="28"/>
          <w:szCs w:val="28"/>
          <w:shd w:val="clear" w:color="050000" w:fill="auto"/>
        </w:rPr>
        <w:t>（4）中标服务商应免费提供休养场所内的康体和娱乐设施供休养体检人员使用，如</w:t>
      </w:r>
      <w:r>
        <w:rPr>
          <w:rFonts w:hint="eastAsia" w:asciiTheme="minorEastAsia" w:hAnsiTheme="minorEastAsia" w:eastAsiaTheme="minorEastAsia" w:cstheme="minorEastAsia"/>
          <w:sz w:val="28"/>
          <w:szCs w:val="28"/>
        </w:rPr>
        <w:t>游泳池、运动场馆[室内（外）篮球场]、室内羽毛球场、桌球室、健身室、室内（外）乒乓球场、桌球、网球场、</w:t>
      </w:r>
      <w:r>
        <w:rPr>
          <w:rFonts w:hint="eastAsia" w:asciiTheme="minorEastAsia" w:hAnsiTheme="minorEastAsia" w:eastAsiaTheme="minorEastAsia" w:cstheme="minorEastAsia"/>
          <w:color w:val="auto"/>
          <w:sz w:val="28"/>
          <w:szCs w:val="28"/>
        </w:rPr>
        <w:t>登山等设施。</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baseline"/>
        <w:rPr>
          <w:rFonts w:ascii="宋体" w:hAnsi="宋体"/>
          <w:sz w:val="21"/>
          <w:szCs w:val="21"/>
        </w:rPr>
      </w:pPr>
      <w:r>
        <w:rPr>
          <w:rFonts w:hint="eastAsia" w:asciiTheme="minorEastAsia" w:hAnsiTheme="minorEastAsia" w:eastAsiaTheme="minorEastAsia" w:cstheme="minorEastAsia"/>
          <w:sz w:val="28"/>
          <w:szCs w:val="28"/>
        </w:rPr>
        <w:t>（5）其他配套条件：具有大型会议室可提供健康讲座</w:t>
      </w:r>
      <w:r>
        <w:rPr>
          <w:rFonts w:hint="eastAsia" w:ascii="宋体" w:hAnsi="宋体"/>
          <w:sz w:val="21"/>
          <w:szCs w:val="21"/>
        </w:rPr>
        <w:t>。</w:t>
      </w:r>
    </w:p>
    <w:p>
      <w:pPr>
        <w:widowControl/>
        <w:adjustRightInd/>
        <w:spacing w:line="240" w:lineRule="auto"/>
        <w:jc w:val="left"/>
        <w:textAlignment w:val="auto"/>
      </w:pPr>
      <w:r>
        <w:br w:type="page"/>
      </w:r>
    </w:p>
    <w:p>
      <w:pPr>
        <w:numPr>
          <w:ilvl w:val="0"/>
          <w:numId w:val="0"/>
        </w:numPr>
        <w:spacing w:before="217" w:beforeLines="50" w:line="360" w:lineRule="auto"/>
        <w:ind w:leftChars="0" w:firstLine="280" w:firstLineChars="100"/>
        <w:jc w:val="left"/>
        <w:rPr>
          <w:rFonts w:hint="eastAsia" w:asciiTheme="minorEastAsia" w:hAnsiTheme="minorEastAsia" w:eastAsiaTheme="minorEastAsia" w:cstheme="minorEastAsia"/>
          <w:b w:val="0"/>
          <w:bCs w:val="0"/>
          <w:sz w:val="28"/>
          <w:szCs w:val="28"/>
        </w:rPr>
      </w:pPr>
      <w:bookmarkStart w:id="0" w:name="_Toc84674662"/>
      <w:bookmarkStart w:id="1" w:name="_Toc7937"/>
      <w:bookmarkStart w:id="2" w:name="_Toc26485"/>
      <w:bookmarkStart w:id="3" w:name="_Toc22794"/>
      <w:r>
        <w:rPr>
          <w:rFonts w:hint="eastAsia" w:asciiTheme="minorEastAsia" w:hAnsiTheme="minorEastAsia" w:eastAsiaTheme="minorEastAsia" w:cstheme="minorEastAsia"/>
          <w:b w:val="0"/>
          <w:bCs w:val="0"/>
          <w:sz w:val="28"/>
          <w:szCs w:val="28"/>
          <w:lang w:eastAsia="zh-CN"/>
        </w:rPr>
        <w:t>二、</w:t>
      </w:r>
      <w:r>
        <w:rPr>
          <w:rFonts w:hint="eastAsia" w:asciiTheme="minorEastAsia" w:hAnsiTheme="minorEastAsia" w:eastAsiaTheme="minorEastAsia" w:cstheme="minorEastAsia"/>
          <w:b w:val="0"/>
          <w:bCs w:val="0"/>
          <w:sz w:val="28"/>
          <w:szCs w:val="28"/>
        </w:rPr>
        <w:t>项目</w:t>
      </w:r>
      <w:r>
        <w:rPr>
          <w:rFonts w:hint="eastAsia" w:asciiTheme="minorEastAsia" w:hAnsiTheme="minorEastAsia" w:eastAsiaTheme="minorEastAsia" w:cstheme="minorEastAsia"/>
          <w:b w:val="0"/>
          <w:bCs w:val="0"/>
          <w:sz w:val="28"/>
          <w:szCs w:val="28"/>
          <w:lang w:eastAsia="zh-CN"/>
        </w:rPr>
        <w:t>内容及</w:t>
      </w:r>
      <w:r>
        <w:rPr>
          <w:rFonts w:hint="eastAsia" w:asciiTheme="minorEastAsia" w:hAnsiTheme="minorEastAsia" w:eastAsiaTheme="minorEastAsia" w:cstheme="minorEastAsia"/>
          <w:b w:val="0"/>
          <w:bCs w:val="0"/>
          <w:sz w:val="28"/>
          <w:szCs w:val="28"/>
        </w:rPr>
        <w:t>要求：</w:t>
      </w:r>
    </w:p>
    <w:tbl>
      <w:tblPr>
        <w:tblStyle w:val="8"/>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611"/>
        <w:gridCol w:w="569"/>
        <w:gridCol w:w="3636"/>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numPr>
                <w:ilvl w:val="0"/>
                <w:numId w:val="0"/>
              </w:numPr>
              <w:adjustRightInd w:val="0"/>
              <w:spacing w:line="360" w:lineRule="auto"/>
              <w:jc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lang w:eastAsia="zh-CN"/>
              </w:rPr>
              <w:t>序号</w:t>
            </w:r>
          </w:p>
        </w:tc>
        <w:tc>
          <w:tcPr>
            <w:tcW w:w="1611" w:type="dxa"/>
            <w:vAlign w:val="center"/>
          </w:tcPr>
          <w:p>
            <w:pPr>
              <w:numPr>
                <w:ilvl w:val="0"/>
                <w:numId w:val="0"/>
              </w:numPr>
              <w:adjustRightInd w:val="0"/>
              <w:spacing w:line="360" w:lineRule="auto"/>
              <w:jc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lang w:eastAsia="zh-CN"/>
              </w:rPr>
              <w:t>内</w:t>
            </w:r>
            <w:r>
              <w:rPr>
                <w:rFonts w:hint="eastAsia" w:ascii="宋体" w:hAnsi="宋体" w:eastAsia="宋体" w:cs="宋体"/>
                <w:b/>
                <w:bCs/>
                <w:color w:val="000000"/>
                <w:sz w:val="22"/>
                <w:szCs w:val="22"/>
                <w:lang w:val="en-US" w:eastAsia="zh-CN"/>
              </w:rPr>
              <w:t xml:space="preserve">    </w:t>
            </w:r>
            <w:r>
              <w:rPr>
                <w:rFonts w:hint="eastAsia" w:ascii="宋体" w:hAnsi="宋体" w:eastAsia="宋体" w:cs="宋体"/>
                <w:b/>
                <w:bCs/>
                <w:color w:val="000000"/>
                <w:sz w:val="22"/>
                <w:szCs w:val="22"/>
                <w:lang w:eastAsia="zh-CN"/>
              </w:rPr>
              <w:t>容</w:t>
            </w:r>
          </w:p>
        </w:tc>
        <w:tc>
          <w:tcPr>
            <w:tcW w:w="569" w:type="dxa"/>
            <w:vAlign w:val="center"/>
          </w:tcPr>
          <w:p>
            <w:pPr>
              <w:numPr>
                <w:ilvl w:val="0"/>
                <w:numId w:val="0"/>
              </w:numPr>
              <w:adjustRightInd w:val="0"/>
              <w:spacing w:line="360" w:lineRule="auto"/>
              <w:jc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lang w:eastAsia="zh-CN"/>
              </w:rPr>
              <w:t>人数</w:t>
            </w:r>
          </w:p>
        </w:tc>
        <w:tc>
          <w:tcPr>
            <w:tcW w:w="3636" w:type="dxa"/>
            <w:vAlign w:val="center"/>
          </w:tcPr>
          <w:p>
            <w:pPr>
              <w:numPr>
                <w:ilvl w:val="0"/>
                <w:numId w:val="0"/>
              </w:numPr>
              <w:adjustRightInd w:val="0"/>
              <w:spacing w:line="360" w:lineRule="auto"/>
              <w:jc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lang w:eastAsia="zh-CN"/>
              </w:rPr>
              <w:t>项目标准及要求</w:t>
            </w:r>
          </w:p>
        </w:tc>
        <w:tc>
          <w:tcPr>
            <w:tcW w:w="2318" w:type="dxa"/>
            <w:vAlign w:val="center"/>
          </w:tcPr>
          <w:p>
            <w:pPr>
              <w:numPr>
                <w:ilvl w:val="0"/>
                <w:numId w:val="0"/>
              </w:numPr>
              <w:adjustRightInd w:val="0"/>
              <w:spacing w:line="360" w:lineRule="auto"/>
              <w:jc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lang w:eastAsia="zh-CN"/>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804" w:type="dxa"/>
            <w:vAlign w:val="center"/>
          </w:tcPr>
          <w:p>
            <w:pPr>
              <w:numPr>
                <w:ilvl w:val="0"/>
                <w:numId w:val="0"/>
              </w:numPr>
              <w:adjustRightInd w:val="0"/>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p>
        </w:tc>
        <w:tc>
          <w:tcPr>
            <w:tcW w:w="1611" w:type="dxa"/>
            <w:vAlign w:val="center"/>
          </w:tcPr>
          <w:p>
            <w:pPr>
              <w:numPr>
                <w:ilvl w:val="0"/>
                <w:numId w:val="0"/>
              </w:numPr>
              <w:adjustRightInd w:val="0"/>
              <w:spacing w:line="360" w:lineRule="auto"/>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男</w:t>
            </w:r>
            <w:r>
              <w:rPr>
                <w:rFonts w:hint="eastAsia" w:ascii="宋体" w:hAnsi="宋体" w:cs="宋体"/>
                <w:color w:val="auto"/>
                <w:sz w:val="22"/>
                <w:szCs w:val="22"/>
                <w:lang w:eastAsia="zh-CN"/>
              </w:rPr>
              <w:t>职工</w:t>
            </w:r>
            <w:r>
              <w:rPr>
                <w:rFonts w:hint="eastAsia" w:ascii="宋体" w:hAnsi="宋体"/>
                <w:color w:val="auto"/>
                <w:sz w:val="22"/>
                <w:szCs w:val="22"/>
              </w:rPr>
              <w:t>体检</w:t>
            </w:r>
          </w:p>
        </w:tc>
        <w:tc>
          <w:tcPr>
            <w:tcW w:w="569" w:type="dxa"/>
            <w:vAlign w:val="center"/>
          </w:tcPr>
          <w:p>
            <w:pPr>
              <w:numPr>
                <w:ilvl w:val="0"/>
                <w:numId w:val="0"/>
              </w:numPr>
              <w:adjustRightInd w:val="0"/>
              <w:spacing w:line="360" w:lineRule="auto"/>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42</w:t>
            </w:r>
          </w:p>
        </w:tc>
        <w:tc>
          <w:tcPr>
            <w:tcW w:w="3636" w:type="dxa"/>
            <w:vAlign w:val="center"/>
          </w:tcPr>
          <w:p>
            <w:pPr>
              <w:numPr>
                <w:ilvl w:val="0"/>
                <w:numId w:val="0"/>
              </w:numPr>
              <w:adjustRightInd w:val="0"/>
              <w:spacing w:line="36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eastAsia="zh-CN"/>
              </w:rPr>
              <w:t>体检标准不超</w:t>
            </w:r>
            <w:r>
              <w:rPr>
                <w:rFonts w:hint="eastAsia" w:ascii="宋体" w:hAnsi="宋体" w:cs="宋体"/>
                <w:b w:val="0"/>
                <w:bCs w:val="0"/>
                <w:color w:val="auto"/>
                <w:sz w:val="22"/>
                <w:szCs w:val="22"/>
                <w:lang w:val="en-US" w:eastAsia="zh-CN"/>
              </w:rPr>
              <w:t>1427</w:t>
            </w:r>
            <w:r>
              <w:rPr>
                <w:rFonts w:hint="eastAsia" w:ascii="宋体" w:hAnsi="宋体" w:eastAsia="宋体" w:cs="宋体"/>
                <w:b w:val="0"/>
                <w:bCs w:val="0"/>
                <w:color w:val="auto"/>
                <w:sz w:val="22"/>
                <w:szCs w:val="22"/>
                <w:lang w:val="en-US" w:eastAsia="zh-CN"/>
              </w:rPr>
              <w:t>元/人，</w:t>
            </w:r>
            <w:r>
              <w:rPr>
                <w:rFonts w:hint="eastAsia" w:ascii="宋体" w:hAnsi="宋体" w:eastAsia="宋体" w:cs="宋体"/>
                <w:b w:val="0"/>
                <w:bCs w:val="0"/>
                <w:color w:val="auto"/>
                <w:sz w:val="22"/>
                <w:szCs w:val="22"/>
                <w:lang w:eastAsia="zh-CN"/>
              </w:rPr>
              <w:t>按指定检查项目体检（详见</w:t>
            </w:r>
            <w:r>
              <w:rPr>
                <w:rFonts w:hint="eastAsia" w:ascii="宋体" w:hAnsi="宋体" w:eastAsia="宋体" w:cs="宋体"/>
                <w:b w:val="0"/>
                <w:bCs w:val="0"/>
                <w:color w:val="auto"/>
                <w:sz w:val="22"/>
                <w:szCs w:val="22"/>
              </w:rPr>
              <w:t>体检项目</w:t>
            </w:r>
            <w:r>
              <w:rPr>
                <w:rFonts w:hint="eastAsia" w:ascii="宋体" w:hAnsi="宋体" w:eastAsia="宋体" w:cs="宋体"/>
                <w:b w:val="0"/>
                <w:bCs w:val="0"/>
                <w:color w:val="auto"/>
                <w:sz w:val="22"/>
                <w:szCs w:val="22"/>
                <w:lang w:eastAsia="zh-CN"/>
              </w:rPr>
              <w:t>及意义）</w:t>
            </w:r>
            <w:r>
              <w:rPr>
                <w:rFonts w:hint="eastAsia" w:ascii="宋体" w:hAnsi="宋体" w:cs="宋体"/>
                <w:b w:val="0"/>
                <w:bCs w:val="0"/>
                <w:color w:val="auto"/>
                <w:sz w:val="22"/>
                <w:szCs w:val="22"/>
                <w:lang w:eastAsia="zh-CN"/>
              </w:rPr>
              <w:t>。</w:t>
            </w:r>
          </w:p>
        </w:tc>
        <w:tc>
          <w:tcPr>
            <w:tcW w:w="2318" w:type="dxa"/>
            <w:vAlign w:val="center"/>
          </w:tcPr>
          <w:p>
            <w:pPr>
              <w:numPr>
                <w:ilvl w:val="0"/>
                <w:numId w:val="0"/>
              </w:numPr>
              <w:adjustRightInd w:val="0"/>
              <w:spacing w:line="360" w:lineRule="auto"/>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202</w:t>
            </w:r>
            <w:r>
              <w:rPr>
                <w:rFonts w:hint="eastAsia" w:ascii="宋体" w:hAnsi="宋体" w:cs="宋体"/>
                <w:color w:val="auto"/>
                <w:sz w:val="22"/>
                <w:szCs w:val="22"/>
                <w:lang w:val="en-US" w:eastAsia="zh-CN"/>
              </w:rPr>
              <w:t>2</w:t>
            </w:r>
            <w:r>
              <w:rPr>
                <w:rFonts w:hint="eastAsia" w:ascii="宋体" w:hAnsi="宋体" w:eastAsia="宋体" w:cs="宋体"/>
                <w:color w:val="auto"/>
                <w:sz w:val="22"/>
                <w:szCs w:val="22"/>
                <w:lang w:val="en-US" w:eastAsia="zh-CN"/>
              </w:rPr>
              <w:t>年</w:t>
            </w:r>
            <w:r>
              <w:rPr>
                <w:rFonts w:hint="eastAsia" w:ascii="宋体" w:hAnsi="宋体" w:cs="宋体"/>
                <w:color w:val="auto"/>
                <w:sz w:val="22"/>
                <w:szCs w:val="22"/>
                <w:lang w:val="en-US" w:eastAsia="zh-CN"/>
              </w:rPr>
              <w:t>9</w:t>
            </w:r>
            <w:r>
              <w:rPr>
                <w:rFonts w:hint="eastAsia" w:ascii="宋体" w:hAnsi="宋体" w:eastAsia="宋体" w:cs="宋体"/>
                <w:color w:val="auto"/>
                <w:sz w:val="22"/>
                <w:szCs w:val="22"/>
                <w:lang w:val="en-US" w:eastAsia="zh-CN"/>
              </w:rPr>
              <w:t>月3</w:t>
            </w:r>
            <w:r>
              <w:rPr>
                <w:rFonts w:hint="eastAsia" w:ascii="宋体" w:hAnsi="宋体" w:cs="宋体"/>
                <w:color w:val="auto"/>
                <w:sz w:val="22"/>
                <w:szCs w:val="22"/>
                <w:lang w:val="en-US" w:eastAsia="zh-CN"/>
              </w:rPr>
              <w:t>0</w:t>
            </w:r>
            <w:r>
              <w:rPr>
                <w:rFonts w:hint="eastAsia" w:ascii="宋体" w:hAnsi="宋体" w:eastAsia="宋体" w:cs="宋体"/>
                <w:color w:val="auto"/>
                <w:sz w:val="22"/>
                <w:szCs w:val="22"/>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804" w:type="dxa"/>
            <w:vAlign w:val="center"/>
          </w:tcPr>
          <w:p>
            <w:pPr>
              <w:numPr>
                <w:ilvl w:val="0"/>
                <w:numId w:val="0"/>
              </w:numPr>
              <w:adjustRightInd w:val="0"/>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w:t>
            </w:r>
          </w:p>
        </w:tc>
        <w:tc>
          <w:tcPr>
            <w:tcW w:w="1611" w:type="dxa"/>
            <w:vAlign w:val="center"/>
          </w:tcPr>
          <w:p>
            <w:pPr>
              <w:numPr>
                <w:ilvl w:val="0"/>
                <w:numId w:val="0"/>
              </w:numPr>
              <w:adjustRightInd w:val="0"/>
              <w:spacing w:line="360" w:lineRule="auto"/>
              <w:ind w:left="0" w:leftChars="0" w:firstLine="0" w:firstLineChars="0"/>
              <w:jc w:val="center"/>
              <w:rPr>
                <w:rFonts w:hint="eastAsia" w:ascii="宋体" w:hAnsi="宋体" w:eastAsia="宋体" w:cs="宋体"/>
                <w:color w:val="auto"/>
                <w:sz w:val="22"/>
                <w:szCs w:val="22"/>
                <w:lang w:eastAsia="zh-CN"/>
              </w:rPr>
            </w:pPr>
            <w:r>
              <w:rPr>
                <w:rFonts w:hint="eastAsia" w:ascii="宋体" w:hAnsi="宋体"/>
                <w:color w:val="auto"/>
                <w:sz w:val="22"/>
                <w:szCs w:val="22"/>
                <w:lang w:val="en-US" w:eastAsia="zh-CN"/>
              </w:rPr>
              <w:t>已婚女职工</w:t>
            </w:r>
            <w:r>
              <w:rPr>
                <w:rFonts w:hint="eastAsia" w:ascii="宋体" w:hAnsi="宋体"/>
                <w:color w:val="auto"/>
                <w:sz w:val="22"/>
                <w:szCs w:val="22"/>
              </w:rPr>
              <w:t>体检</w:t>
            </w:r>
          </w:p>
        </w:tc>
        <w:tc>
          <w:tcPr>
            <w:tcW w:w="569" w:type="dxa"/>
            <w:vAlign w:val="center"/>
          </w:tcPr>
          <w:p>
            <w:pPr>
              <w:numPr>
                <w:ilvl w:val="0"/>
                <w:numId w:val="0"/>
              </w:numPr>
              <w:adjustRightInd w:val="0"/>
              <w:spacing w:line="360" w:lineRule="auto"/>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86</w:t>
            </w:r>
          </w:p>
        </w:tc>
        <w:tc>
          <w:tcPr>
            <w:tcW w:w="3636" w:type="dxa"/>
            <w:vAlign w:val="center"/>
          </w:tcPr>
          <w:p>
            <w:pPr>
              <w:numPr>
                <w:ilvl w:val="0"/>
                <w:numId w:val="0"/>
              </w:numPr>
              <w:adjustRightInd w:val="0"/>
              <w:spacing w:line="360" w:lineRule="auto"/>
              <w:jc w:val="center"/>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体检标准不超</w:t>
            </w:r>
            <w:r>
              <w:rPr>
                <w:rFonts w:hint="eastAsia" w:ascii="宋体" w:hAnsi="宋体" w:cs="宋体"/>
                <w:b w:val="0"/>
                <w:bCs w:val="0"/>
                <w:color w:val="auto"/>
                <w:sz w:val="22"/>
                <w:szCs w:val="22"/>
                <w:lang w:val="en-US" w:eastAsia="zh-CN"/>
              </w:rPr>
              <w:t>1531</w:t>
            </w:r>
            <w:r>
              <w:rPr>
                <w:rFonts w:hint="eastAsia" w:ascii="宋体" w:hAnsi="宋体" w:eastAsia="宋体" w:cs="宋体"/>
                <w:b w:val="0"/>
                <w:bCs w:val="0"/>
                <w:color w:val="auto"/>
                <w:sz w:val="22"/>
                <w:szCs w:val="22"/>
                <w:lang w:val="en-US" w:eastAsia="zh-CN"/>
              </w:rPr>
              <w:t>元/人，</w:t>
            </w:r>
            <w:r>
              <w:rPr>
                <w:rFonts w:hint="eastAsia" w:ascii="宋体" w:hAnsi="宋体" w:eastAsia="宋体" w:cs="宋体"/>
                <w:b w:val="0"/>
                <w:bCs w:val="0"/>
                <w:color w:val="auto"/>
                <w:sz w:val="22"/>
                <w:szCs w:val="22"/>
                <w:lang w:eastAsia="zh-CN"/>
              </w:rPr>
              <w:t>按指定检查项目体检（详见</w:t>
            </w:r>
            <w:r>
              <w:rPr>
                <w:rFonts w:hint="eastAsia" w:ascii="宋体" w:hAnsi="宋体" w:eastAsia="宋体" w:cs="宋体"/>
                <w:b w:val="0"/>
                <w:bCs w:val="0"/>
                <w:color w:val="auto"/>
                <w:sz w:val="22"/>
                <w:szCs w:val="22"/>
              </w:rPr>
              <w:t>体检项目</w:t>
            </w:r>
            <w:r>
              <w:rPr>
                <w:rFonts w:hint="eastAsia" w:ascii="宋体" w:hAnsi="宋体" w:eastAsia="宋体" w:cs="宋体"/>
                <w:b w:val="0"/>
                <w:bCs w:val="0"/>
                <w:color w:val="auto"/>
                <w:sz w:val="22"/>
                <w:szCs w:val="22"/>
                <w:lang w:eastAsia="zh-CN"/>
              </w:rPr>
              <w:t>及意义）</w:t>
            </w:r>
            <w:r>
              <w:rPr>
                <w:rFonts w:hint="eastAsia" w:ascii="宋体" w:hAnsi="宋体" w:cs="宋体"/>
                <w:b w:val="0"/>
                <w:bCs w:val="0"/>
                <w:color w:val="auto"/>
                <w:sz w:val="22"/>
                <w:szCs w:val="22"/>
                <w:lang w:eastAsia="zh-CN"/>
              </w:rPr>
              <w:t>。</w:t>
            </w:r>
          </w:p>
        </w:tc>
        <w:tc>
          <w:tcPr>
            <w:tcW w:w="2318" w:type="dxa"/>
            <w:vAlign w:val="center"/>
          </w:tcPr>
          <w:p>
            <w:pPr>
              <w:numPr>
                <w:ilvl w:val="0"/>
                <w:numId w:val="0"/>
              </w:numPr>
              <w:adjustRightIn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202</w:t>
            </w:r>
            <w:r>
              <w:rPr>
                <w:rFonts w:hint="eastAsia" w:ascii="宋体" w:hAnsi="宋体" w:cs="宋体"/>
                <w:color w:val="auto"/>
                <w:sz w:val="22"/>
                <w:szCs w:val="22"/>
                <w:lang w:val="en-US" w:eastAsia="zh-CN"/>
              </w:rPr>
              <w:t>2</w:t>
            </w:r>
            <w:r>
              <w:rPr>
                <w:rFonts w:hint="eastAsia" w:ascii="宋体" w:hAnsi="宋体" w:eastAsia="宋体" w:cs="宋体"/>
                <w:color w:val="auto"/>
                <w:sz w:val="22"/>
                <w:szCs w:val="22"/>
                <w:lang w:val="en-US" w:eastAsia="zh-CN"/>
              </w:rPr>
              <w:t>年</w:t>
            </w:r>
            <w:r>
              <w:rPr>
                <w:rFonts w:hint="eastAsia" w:ascii="宋体" w:hAnsi="宋体" w:cs="宋体"/>
                <w:color w:val="auto"/>
                <w:sz w:val="22"/>
                <w:szCs w:val="22"/>
                <w:lang w:val="en-US" w:eastAsia="zh-CN"/>
              </w:rPr>
              <w:t>9</w:t>
            </w:r>
            <w:r>
              <w:rPr>
                <w:rFonts w:hint="eastAsia" w:ascii="宋体" w:hAnsi="宋体" w:eastAsia="宋体" w:cs="宋体"/>
                <w:color w:val="auto"/>
                <w:sz w:val="22"/>
                <w:szCs w:val="22"/>
                <w:lang w:val="en-US" w:eastAsia="zh-CN"/>
              </w:rPr>
              <w:t>月3</w:t>
            </w:r>
            <w:r>
              <w:rPr>
                <w:rFonts w:hint="eastAsia" w:ascii="宋体" w:hAnsi="宋体" w:cs="宋体"/>
                <w:color w:val="auto"/>
                <w:sz w:val="22"/>
                <w:szCs w:val="22"/>
                <w:lang w:val="en-US" w:eastAsia="zh-CN"/>
              </w:rPr>
              <w:t>0</w:t>
            </w:r>
            <w:r>
              <w:rPr>
                <w:rFonts w:hint="eastAsia" w:ascii="宋体" w:hAnsi="宋体" w:eastAsia="宋体" w:cs="宋体"/>
                <w:color w:val="auto"/>
                <w:sz w:val="22"/>
                <w:szCs w:val="22"/>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804" w:type="dxa"/>
            <w:vAlign w:val="center"/>
          </w:tcPr>
          <w:p>
            <w:pPr>
              <w:numPr>
                <w:ilvl w:val="0"/>
                <w:numId w:val="0"/>
              </w:numPr>
              <w:adjustRightInd w:val="0"/>
              <w:spacing w:line="360" w:lineRule="auto"/>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3</w:t>
            </w:r>
          </w:p>
        </w:tc>
        <w:tc>
          <w:tcPr>
            <w:tcW w:w="1611" w:type="dxa"/>
            <w:vAlign w:val="center"/>
          </w:tcPr>
          <w:p>
            <w:pPr>
              <w:numPr>
                <w:ilvl w:val="0"/>
                <w:numId w:val="0"/>
              </w:numPr>
              <w:adjustRightInd w:val="0"/>
              <w:spacing w:line="360" w:lineRule="auto"/>
              <w:ind w:left="0" w:leftChars="0" w:firstLine="0" w:firstLineChars="0"/>
              <w:jc w:val="center"/>
              <w:rPr>
                <w:rFonts w:hint="eastAsia" w:ascii="宋体" w:hAnsi="宋体"/>
                <w:color w:val="auto"/>
                <w:sz w:val="22"/>
                <w:szCs w:val="22"/>
                <w:lang w:val="en-US" w:eastAsia="zh-CN"/>
              </w:rPr>
            </w:pPr>
            <w:r>
              <w:rPr>
                <w:rFonts w:hint="eastAsia" w:ascii="宋体" w:hAnsi="宋体"/>
                <w:color w:val="auto"/>
                <w:sz w:val="22"/>
                <w:szCs w:val="22"/>
                <w:lang w:val="en-US" w:eastAsia="zh-CN"/>
              </w:rPr>
              <w:t>未婚女职工体检</w:t>
            </w:r>
          </w:p>
        </w:tc>
        <w:tc>
          <w:tcPr>
            <w:tcW w:w="569" w:type="dxa"/>
            <w:vAlign w:val="center"/>
          </w:tcPr>
          <w:p>
            <w:pPr>
              <w:numPr>
                <w:ilvl w:val="0"/>
                <w:numId w:val="0"/>
              </w:numPr>
              <w:adjustRightInd w:val="0"/>
              <w:spacing w:line="360" w:lineRule="auto"/>
              <w:jc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30</w:t>
            </w:r>
          </w:p>
        </w:tc>
        <w:tc>
          <w:tcPr>
            <w:tcW w:w="3636" w:type="dxa"/>
            <w:vAlign w:val="center"/>
          </w:tcPr>
          <w:p>
            <w:pPr>
              <w:numPr>
                <w:ilvl w:val="0"/>
                <w:numId w:val="0"/>
              </w:numPr>
              <w:adjustRightInd w:val="0"/>
              <w:spacing w:line="360" w:lineRule="auto"/>
              <w:jc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体检标准不超</w:t>
            </w:r>
            <w:r>
              <w:rPr>
                <w:rFonts w:hint="eastAsia" w:ascii="宋体" w:hAnsi="宋体" w:cs="宋体"/>
                <w:b w:val="0"/>
                <w:bCs w:val="0"/>
                <w:color w:val="auto"/>
                <w:sz w:val="22"/>
                <w:szCs w:val="22"/>
                <w:lang w:val="en-US" w:eastAsia="zh-CN"/>
              </w:rPr>
              <w:t>1378</w:t>
            </w:r>
            <w:r>
              <w:rPr>
                <w:rFonts w:hint="eastAsia" w:ascii="宋体" w:hAnsi="宋体" w:eastAsia="宋体" w:cs="宋体"/>
                <w:b w:val="0"/>
                <w:bCs w:val="0"/>
                <w:color w:val="auto"/>
                <w:sz w:val="22"/>
                <w:szCs w:val="22"/>
                <w:lang w:val="en-US" w:eastAsia="zh-CN"/>
              </w:rPr>
              <w:t>元/人，</w:t>
            </w:r>
            <w:r>
              <w:rPr>
                <w:rFonts w:hint="eastAsia" w:ascii="宋体" w:hAnsi="宋体" w:eastAsia="宋体" w:cs="宋体"/>
                <w:b w:val="0"/>
                <w:bCs w:val="0"/>
                <w:color w:val="auto"/>
                <w:sz w:val="22"/>
                <w:szCs w:val="22"/>
                <w:lang w:eastAsia="zh-CN"/>
              </w:rPr>
              <w:t>按指定检查项目体检（详见</w:t>
            </w:r>
            <w:r>
              <w:rPr>
                <w:rFonts w:hint="eastAsia" w:ascii="宋体" w:hAnsi="宋体" w:eastAsia="宋体" w:cs="宋体"/>
                <w:b w:val="0"/>
                <w:bCs w:val="0"/>
                <w:color w:val="auto"/>
                <w:sz w:val="22"/>
                <w:szCs w:val="22"/>
              </w:rPr>
              <w:t>体检项目</w:t>
            </w:r>
            <w:r>
              <w:rPr>
                <w:rFonts w:hint="eastAsia" w:ascii="宋体" w:hAnsi="宋体" w:eastAsia="宋体" w:cs="宋体"/>
                <w:b w:val="0"/>
                <w:bCs w:val="0"/>
                <w:color w:val="auto"/>
                <w:sz w:val="22"/>
                <w:szCs w:val="22"/>
                <w:lang w:eastAsia="zh-CN"/>
              </w:rPr>
              <w:t>及意义）</w:t>
            </w:r>
            <w:r>
              <w:rPr>
                <w:rFonts w:hint="eastAsia" w:ascii="宋体" w:hAnsi="宋体" w:cs="宋体"/>
                <w:b w:val="0"/>
                <w:bCs w:val="0"/>
                <w:color w:val="auto"/>
                <w:sz w:val="22"/>
                <w:szCs w:val="22"/>
                <w:lang w:eastAsia="zh-CN"/>
              </w:rPr>
              <w:t>。</w:t>
            </w:r>
          </w:p>
        </w:tc>
        <w:tc>
          <w:tcPr>
            <w:tcW w:w="2318" w:type="dxa"/>
            <w:vAlign w:val="center"/>
          </w:tcPr>
          <w:p>
            <w:pPr>
              <w:numPr>
                <w:ilvl w:val="0"/>
                <w:numId w:val="0"/>
              </w:numPr>
              <w:adjustRightInd w:val="0"/>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202</w:t>
            </w:r>
            <w:r>
              <w:rPr>
                <w:rFonts w:hint="eastAsia" w:ascii="宋体" w:hAnsi="宋体" w:cs="宋体"/>
                <w:color w:val="auto"/>
                <w:sz w:val="22"/>
                <w:szCs w:val="22"/>
                <w:lang w:val="en-US" w:eastAsia="zh-CN"/>
              </w:rPr>
              <w:t>2</w:t>
            </w:r>
            <w:r>
              <w:rPr>
                <w:rFonts w:hint="eastAsia" w:ascii="宋体" w:hAnsi="宋体" w:eastAsia="宋体" w:cs="宋体"/>
                <w:color w:val="auto"/>
                <w:sz w:val="22"/>
                <w:szCs w:val="22"/>
                <w:lang w:val="en-US" w:eastAsia="zh-CN"/>
              </w:rPr>
              <w:t>年</w:t>
            </w:r>
            <w:r>
              <w:rPr>
                <w:rFonts w:hint="eastAsia" w:ascii="宋体" w:hAnsi="宋体" w:cs="宋体"/>
                <w:color w:val="auto"/>
                <w:sz w:val="22"/>
                <w:szCs w:val="22"/>
                <w:lang w:val="en-US" w:eastAsia="zh-CN"/>
              </w:rPr>
              <w:t>9</w:t>
            </w:r>
            <w:r>
              <w:rPr>
                <w:rFonts w:hint="eastAsia" w:ascii="宋体" w:hAnsi="宋体" w:eastAsia="宋体" w:cs="宋体"/>
                <w:color w:val="auto"/>
                <w:sz w:val="22"/>
                <w:szCs w:val="22"/>
                <w:lang w:val="en-US" w:eastAsia="zh-CN"/>
              </w:rPr>
              <w:t>月3</w:t>
            </w:r>
            <w:r>
              <w:rPr>
                <w:rFonts w:hint="eastAsia" w:ascii="宋体" w:hAnsi="宋体" w:cs="宋体"/>
                <w:color w:val="auto"/>
                <w:sz w:val="22"/>
                <w:szCs w:val="22"/>
                <w:lang w:val="en-US" w:eastAsia="zh-CN"/>
              </w:rPr>
              <w:t>0</w:t>
            </w:r>
            <w:r>
              <w:rPr>
                <w:rFonts w:hint="eastAsia" w:ascii="宋体" w:hAnsi="宋体" w:eastAsia="宋体" w:cs="宋体"/>
                <w:color w:val="auto"/>
                <w:sz w:val="22"/>
                <w:szCs w:val="22"/>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804" w:type="dxa"/>
            <w:vAlign w:val="center"/>
          </w:tcPr>
          <w:p>
            <w:pPr>
              <w:numPr>
                <w:ilvl w:val="0"/>
                <w:numId w:val="0"/>
              </w:numPr>
              <w:adjustRightInd w:val="0"/>
              <w:spacing w:line="360" w:lineRule="auto"/>
              <w:jc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4</w:t>
            </w:r>
          </w:p>
        </w:tc>
        <w:tc>
          <w:tcPr>
            <w:tcW w:w="1611" w:type="dxa"/>
            <w:vAlign w:val="center"/>
          </w:tcPr>
          <w:p>
            <w:pPr>
              <w:numPr>
                <w:ilvl w:val="0"/>
                <w:numId w:val="0"/>
              </w:numPr>
              <w:adjustRightInd w:val="0"/>
              <w:spacing w:line="360" w:lineRule="auto"/>
              <w:ind w:left="0" w:leftChars="0" w:firstLine="0" w:firstLineChars="0"/>
              <w:jc w:val="center"/>
              <w:rPr>
                <w:rFonts w:hint="eastAsia" w:ascii="宋体" w:hAnsi="宋体"/>
                <w:color w:val="auto"/>
                <w:sz w:val="22"/>
                <w:szCs w:val="22"/>
                <w:lang w:val="en-US" w:eastAsia="zh-CN"/>
              </w:rPr>
            </w:pPr>
            <w:r>
              <w:rPr>
                <w:rFonts w:hint="eastAsia" w:ascii="宋体" w:hAnsi="宋体"/>
                <w:color w:val="auto"/>
                <w:sz w:val="22"/>
                <w:szCs w:val="22"/>
                <w:lang w:val="en-US" w:eastAsia="zh-CN"/>
              </w:rPr>
              <w:t>职工住宿</w:t>
            </w:r>
          </w:p>
        </w:tc>
        <w:tc>
          <w:tcPr>
            <w:tcW w:w="569" w:type="dxa"/>
            <w:vAlign w:val="center"/>
          </w:tcPr>
          <w:p>
            <w:pPr>
              <w:numPr>
                <w:ilvl w:val="0"/>
                <w:numId w:val="0"/>
              </w:numPr>
              <w:adjustRightInd w:val="0"/>
              <w:spacing w:line="360" w:lineRule="auto"/>
              <w:jc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158</w:t>
            </w:r>
          </w:p>
        </w:tc>
        <w:tc>
          <w:tcPr>
            <w:tcW w:w="3636" w:type="dxa"/>
            <w:vAlign w:val="center"/>
          </w:tcPr>
          <w:p>
            <w:pPr>
              <w:numPr>
                <w:ilvl w:val="0"/>
                <w:numId w:val="0"/>
              </w:numPr>
              <w:adjustRightInd w:val="0"/>
              <w:spacing w:line="360" w:lineRule="auto"/>
              <w:jc w:val="center"/>
              <w:rPr>
                <w:rFonts w:hint="eastAsia" w:ascii="宋体" w:hAnsi="宋体" w:eastAsia="宋体" w:cs="宋体"/>
                <w:b w:val="0"/>
                <w:bCs w:val="0"/>
                <w:color w:val="auto"/>
                <w:sz w:val="22"/>
                <w:szCs w:val="22"/>
                <w:lang w:val="en-US" w:eastAsia="zh-CN"/>
              </w:rPr>
            </w:pPr>
            <w:r>
              <w:rPr>
                <w:rFonts w:hint="eastAsia" w:ascii="宋体" w:hAnsi="宋体" w:cs="宋体"/>
                <w:color w:val="auto"/>
                <w:sz w:val="22"/>
              </w:rPr>
              <w:t>住一晚，不超 20</w:t>
            </w:r>
            <w:r>
              <w:rPr>
                <w:rFonts w:hint="eastAsia" w:ascii="宋体" w:hAnsi="宋体" w:cs="宋体"/>
                <w:color w:val="auto"/>
                <w:sz w:val="22"/>
                <w:lang w:val="en-US" w:eastAsia="zh-CN"/>
              </w:rPr>
              <w:t>5</w:t>
            </w:r>
            <w:r>
              <w:rPr>
                <w:rFonts w:hint="eastAsia" w:ascii="宋体" w:hAnsi="宋体" w:cs="宋体"/>
                <w:color w:val="auto"/>
                <w:sz w:val="22"/>
              </w:rPr>
              <w:t>元/人/日的标准</w:t>
            </w:r>
            <w:r>
              <w:rPr>
                <w:rFonts w:hint="eastAsia" w:ascii="宋体" w:hAnsi="宋体" w:cs="宋体"/>
                <w:color w:val="auto"/>
                <w:sz w:val="22"/>
                <w:lang w:eastAsia="zh-CN"/>
              </w:rPr>
              <w:t>。</w:t>
            </w:r>
          </w:p>
        </w:tc>
        <w:tc>
          <w:tcPr>
            <w:tcW w:w="2318" w:type="dxa"/>
            <w:vAlign w:val="center"/>
          </w:tcPr>
          <w:p>
            <w:pPr>
              <w:numPr>
                <w:ilvl w:val="0"/>
                <w:numId w:val="0"/>
              </w:numPr>
              <w:adjustRightInd w:val="0"/>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202</w:t>
            </w:r>
            <w:r>
              <w:rPr>
                <w:rFonts w:hint="eastAsia" w:ascii="宋体" w:hAnsi="宋体" w:cs="宋体"/>
                <w:color w:val="auto"/>
                <w:sz w:val="22"/>
                <w:szCs w:val="22"/>
                <w:lang w:val="en-US" w:eastAsia="zh-CN"/>
              </w:rPr>
              <w:t>2</w:t>
            </w:r>
            <w:r>
              <w:rPr>
                <w:rFonts w:hint="eastAsia" w:ascii="宋体" w:hAnsi="宋体" w:eastAsia="宋体" w:cs="宋体"/>
                <w:color w:val="auto"/>
                <w:sz w:val="22"/>
                <w:szCs w:val="22"/>
                <w:lang w:val="en-US" w:eastAsia="zh-CN"/>
              </w:rPr>
              <w:t>年</w:t>
            </w:r>
            <w:r>
              <w:rPr>
                <w:rFonts w:hint="eastAsia" w:ascii="宋体" w:hAnsi="宋体" w:cs="宋体"/>
                <w:color w:val="auto"/>
                <w:sz w:val="22"/>
                <w:szCs w:val="22"/>
                <w:lang w:val="en-US" w:eastAsia="zh-CN"/>
              </w:rPr>
              <w:t>9</w:t>
            </w:r>
            <w:r>
              <w:rPr>
                <w:rFonts w:hint="eastAsia" w:ascii="宋体" w:hAnsi="宋体" w:eastAsia="宋体" w:cs="宋体"/>
                <w:color w:val="auto"/>
                <w:sz w:val="22"/>
                <w:szCs w:val="22"/>
                <w:lang w:val="en-US" w:eastAsia="zh-CN"/>
              </w:rPr>
              <w:t>月3</w:t>
            </w:r>
            <w:r>
              <w:rPr>
                <w:rFonts w:hint="eastAsia" w:ascii="宋体" w:hAnsi="宋体" w:cs="宋体"/>
                <w:color w:val="auto"/>
                <w:sz w:val="22"/>
                <w:szCs w:val="22"/>
                <w:lang w:val="en-US" w:eastAsia="zh-CN"/>
              </w:rPr>
              <w:t>0</w:t>
            </w:r>
            <w:r>
              <w:rPr>
                <w:rFonts w:hint="eastAsia" w:ascii="宋体" w:hAnsi="宋体" w:eastAsia="宋体" w:cs="宋体"/>
                <w:color w:val="auto"/>
                <w:sz w:val="22"/>
                <w:szCs w:val="22"/>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804" w:type="dxa"/>
            <w:vAlign w:val="center"/>
          </w:tcPr>
          <w:p>
            <w:pPr>
              <w:numPr>
                <w:ilvl w:val="0"/>
                <w:numId w:val="0"/>
              </w:numPr>
              <w:adjustRightInd w:val="0"/>
              <w:spacing w:line="360" w:lineRule="auto"/>
              <w:jc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5</w:t>
            </w:r>
          </w:p>
        </w:tc>
        <w:tc>
          <w:tcPr>
            <w:tcW w:w="1611" w:type="dxa"/>
            <w:vAlign w:val="center"/>
          </w:tcPr>
          <w:p>
            <w:pPr>
              <w:numPr>
                <w:ilvl w:val="0"/>
                <w:numId w:val="0"/>
              </w:numPr>
              <w:adjustRightInd w:val="0"/>
              <w:spacing w:line="360" w:lineRule="auto"/>
              <w:ind w:left="0" w:leftChars="0" w:firstLine="0" w:firstLineChars="0"/>
              <w:jc w:val="center"/>
              <w:rPr>
                <w:rFonts w:hint="eastAsia" w:ascii="宋体" w:hAnsi="宋体"/>
                <w:color w:val="auto"/>
                <w:sz w:val="22"/>
                <w:szCs w:val="22"/>
                <w:lang w:val="en-US" w:eastAsia="zh-CN"/>
              </w:rPr>
            </w:pPr>
            <w:r>
              <w:rPr>
                <w:rFonts w:hint="eastAsia" w:ascii="宋体" w:hAnsi="宋体"/>
                <w:color w:val="auto"/>
                <w:sz w:val="22"/>
                <w:szCs w:val="22"/>
                <w:lang w:val="en-US" w:eastAsia="zh-CN"/>
              </w:rPr>
              <w:t>职工用餐</w:t>
            </w:r>
          </w:p>
        </w:tc>
        <w:tc>
          <w:tcPr>
            <w:tcW w:w="569" w:type="dxa"/>
            <w:vAlign w:val="center"/>
          </w:tcPr>
          <w:p>
            <w:pPr>
              <w:numPr>
                <w:ilvl w:val="0"/>
                <w:numId w:val="0"/>
              </w:numPr>
              <w:adjustRightInd w:val="0"/>
              <w:spacing w:line="360" w:lineRule="auto"/>
              <w:jc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158</w:t>
            </w:r>
          </w:p>
        </w:tc>
        <w:tc>
          <w:tcPr>
            <w:tcW w:w="3636" w:type="dxa"/>
            <w:vAlign w:val="center"/>
          </w:tcPr>
          <w:p>
            <w:pPr>
              <w:numPr>
                <w:ilvl w:val="0"/>
                <w:numId w:val="0"/>
              </w:numPr>
              <w:adjustRightInd w:val="0"/>
              <w:spacing w:line="360" w:lineRule="auto"/>
              <w:jc w:val="center"/>
              <w:rPr>
                <w:rFonts w:hint="eastAsia" w:ascii="宋体" w:hAnsi="宋体" w:eastAsia="宋体" w:cs="宋体"/>
                <w:b w:val="0"/>
                <w:bCs w:val="0"/>
                <w:color w:val="auto"/>
                <w:sz w:val="22"/>
                <w:szCs w:val="22"/>
                <w:lang w:val="en-US" w:eastAsia="zh-CN"/>
              </w:rPr>
            </w:pPr>
            <w:r>
              <w:rPr>
                <w:rFonts w:hint="eastAsia" w:ascii="宋体" w:hAnsi="宋体" w:eastAsia="宋体" w:cs="宋体"/>
                <w:color w:val="000000"/>
                <w:sz w:val="20"/>
                <w:szCs w:val="20"/>
              </w:rPr>
              <w:t>三个正餐一个早餐，</w:t>
            </w:r>
            <w:r>
              <w:rPr>
                <w:rFonts w:hint="eastAsia" w:ascii="宋体" w:hAnsi="宋体" w:eastAsia="宋体" w:cs="宋体"/>
                <w:color w:val="000000"/>
                <w:sz w:val="20"/>
                <w:szCs w:val="20"/>
                <w:lang w:eastAsia="zh-CN"/>
              </w:rPr>
              <w:t>正餐围餐，</w:t>
            </w:r>
            <w:r>
              <w:rPr>
                <w:rFonts w:hint="eastAsia" w:ascii="宋体" w:hAnsi="宋体" w:eastAsia="宋体" w:cs="宋体"/>
                <w:color w:val="000000"/>
                <w:sz w:val="20"/>
                <w:szCs w:val="20"/>
                <w:lang w:val="en-US" w:eastAsia="zh-CN"/>
              </w:rPr>
              <w:t>140</w:t>
            </w:r>
            <w:r>
              <w:rPr>
                <w:rFonts w:hint="eastAsia" w:ascii="宋体" w:hAnsi="宋体" w:eastAsia="宋体" w:cs="宋体"/>
                <w:color w:val="000000"/>
                <w:sz w:val="20"/>
                <w:szCs w:val="20"/>
              </w:rPr>
              <w:t>元/人的标准</w:t>
            </w:r>
          </w:p>
        </w:tc>
        <w:tc>
          <w:tcPr>
            <w:tcW w:w="2318" w:type="dxa"/>
            <w:vAlign w:val="center"/>
          </w:tcPr>
          <w:p>
            <w:pPr>
              <w:numPr>
                <w:ilvl w:val="0"/>
                <w:numId w:val="0"/>
              </w:numPr>
              <w:adjustRightInd w:val="0"/>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202</w:t>
            </w:r>
            <w:r>
              <w:rPr>
                <w:rFonts w:hint="eastAsia" w:ascii="宋体" w:hAnsi="宋体" w:cs="宋体"/>
                <w:color w:val="auto"/>
                <w:sz w:val="22"/>
                <w:szCs w:val="22"/>
                <w:lang w:val="en-US" w:eastAsia="zh-CN"/>
              </w:rPr>
              <w:t>2</w:t>
            </w:r>
            <w:r>
              <w:rPr>
                <w:rFonts w:hint="eastAsia" w:ascii="宋体" w:hAnsi="宋体" w:eastAsia="宋体" w:cs="宋体"/>
                <w:color w:val="auto"/>
                <w:sz w:val="22"/>
                <w:szCs w:val="22"/>
                <w:lang w:val="en-US" w:eastAsia="zh-CN"/>
              </w:rPr>
              <w:t>年</w:t>
            </w:r>
            <w:r>
              <w:rPr>
                <w:rFonts w:hint="eastAsia" w:ascii="宋体" w:hAnsi="宋体" w:cs="宋体"/>
                <w:color w:val="auto"/>
                <w:sz w:val="22"/>
                <w:szCs w:val="22"/>
                <w:lang w:val="en-US" w:eastAsia="zh-CN"/>
              </w:rPr>
              <w:t>9</w:t>
            </w:r>
            <w:r>
              <w:rPr>
                <w:rFonts w:hint="eastAsia" w:ascii="宋体" w:hAnsi="宋体" w:eastAsia="宋体" w:cs="宋体"/>
                <w:color w:val="auto"/>
                <w:sz w:val="22"/>
                <w:szCs w:val="22"/>
                <w:lang w:val="en-US" w:eastAsia="zh-CN"/>
              </w:rPr>
              <w:t>月3</w:t>
            </w:r>
            <w:r>
              <w:rPr>
                <w:rFonts w:hint="eastAsia" w:ascii="宋体" w:hAnsi="宋体" w:cs="宋体"/>
                <w:color w:val="auto"/>
                <w:sz w:val="22"/>
                <w:szCs w:val="22"/>
                <w:lang w:val="en-US" w:eastAsia="zh-CN"/>
              </w:rPr>
              <w:t>0</w:t>
            </w:r>
            <w:r>
              <w:rPr>
                <w:rFonts w:hint="eastAsia" w:ascii="宋体" w:hAnsi="宋体" w:eastAsia="宋体" w:cs="宋体"/>
                <w:color w:val="auto"/>
                <w:sz w:val="22"/>
                <w:szCs w:val="22"/>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804" w:type="dxa"/>
            <w:vAlign w:val="center"/>
          </w:tcPr>
          <w:p>
            <w:pPr>
              <w:numPr>
                <w:ilvl w:val="0"/>
                <w:numId w:val="0"/>
              </w:numPr>
              <w:adjustRightInd w:val="0"/>
              <w:spacing w:line="360" w:lineRule="auto"/>
              <w:jc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6</w:t>
            </w:r>
          </w:p>
        </w:tc>
        <w:tc>
          <w:tcPr>
            <w:tcW w:w="1611" w:type="dxa"/>
            <w:vAlign w:val="center"/>
          </w:tcPr>
          <w:p>
            <w:pPr>
              <w:numPr>
                <w:ilvl w:val="0"/>
                <w:numId w:val="0"/>
              </w:numPr>
              <w:adjustRightInd w:val="0"/>
              <w:spacing w:line="360" w:lineRule="auto"/>
              <w:ind w:left="0" w:leftChars="0" w:firstLine="0" w:firstLineChars="0"/>
              <w:jc w:val="center"/>
              <w:rPr>
                <w:rFonts w:hint="eastAsia" w:ascii="宋体" w:hAnsi="宋体"/>
                <w:color w:val="auto"/>
                <w:sz w:val="22"/>
                <w:szCs w:val="22"/>
                <w:lang w:val="en-US" w:eastAsia="zh-CN"/>
              </w:rPr>
            </w:pPr>
            <w:r>
              <w:rPr>
                <w:rFonts w:hint="eastAsia" w:ascii="宋体" w:hAnsi="宋体"/>
                <w:color w:val="auto"/>
                <w:sz w:val="22"/>
                <w:szCs w:val="22"/>
                <w:lang w:val="en-US" w:eastAsia="zh-CN"/>
              </w:rPr>
              <w:t>交通</w:t>
            </w:r>
          </w:p>
        </w:tc>
        <w:tc>
          <w:tcPr>
            <w:tcW w:w="569" w:type="dxa"/>
            <w:vAlign w:val="center"/>
          </w:tcPr>
          <w:p>
            <w:pPr>
              <w:numPr>
                <w:ilvl w:val="0"/>
                <w:numId w:val="0"/>
              </w:numPr>
              <w:adjustRightInd w:val="0"/>
              <w:spacing w:line="360" w:lineRule="auto"/>
              <w:jc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158</w:t>
            </w:r>
          </w:p>
        </w:tc>
        <w:tc>
          <w:tcPr>
            <w:tcW w:w="3636" w:type="dxa"/>
            <w:vAlign w:val="center"/>
          </w:tcPr>
          <w:p>
            <w:pPr>
              <w:numPr>
                <w:ilvl w:val="0"/>
                <w:numId w:val="0"/>
              </w:numPr>
              <w:adjustRightInd w:val="0"/>
              <w:spacing w:line="360" w:lineRule="auto"/>
              <w:ind w:left="0" w:leftChars="0" w:firstLine="0" w:firstLineChars="0"/>
              <w:jc w:val="center"/>
              <w:rPr>
                <w:rFonts w:hint="eastAsia" w:ascii="宋体" w:hAnsi="宋体" w:eastAsia="宋体" w:cs="宋体"/>
                <w:b w:val="0"/>
                <w:bCs w:val="0"/>
                <w:color w:val="auto"/>
                <w:sz w:val="22"/>
                <w:szCs w:val="22"/>
                <w:lang w:val="en-US" w:eastAsia="zh-CN"/>
              </w:rPr>
            </w:pPr>
            <w:r>
              <w:rPr>
                <w:rFonts w:hint="eastAsia" w:ascii="宋体" w:hAnsi="宋体" w:cs="宋体"/>
                <w:color w:val="000000"/>
                <w:sz w:val="20"/>
                <w:szCs w:val="20"/>
              </w:rPr>
              <w:t>40座以上大型客车</w:t>
            </w:r>
            <w:r>
              <w:rPr>
                <w:rFonts w:hint="eastAsia" w:ascii="宋体" w:hAnsi="宋体" w:cs="宋体"/>
                <w:color w:val="000000"/>
                <w:sz w:val="20"/>
                <w:szCs w:val="20"/>
                <w:lang w:val="en-US" w:eastAsia="zh-CN"/>
              </w:rPr>
              <w:t>4辆</w:t>
            </w:r>
            <w:r>
              <w:rPr>
                <w:rFonts w:hint="eastAsia" w:ascii="宋体" w:hAnsi="宋体" w:eastAsia="宋体" w:cs="宋体"/>
                <w:color w:val="000000"/>
                <w:sz w:val="20"/>
                <w:szCs w:val="20"/>
                <w:lang w:eastAsia="zh-CN"/>
              </w:rPr>
              <w:t>，</w:t>
            </w:r>
            <w:r>
              <w:rPr>
                <w:rFonts w:hint="eastAsia" w:ascii="宋体" w:hAnsi="宋体" w:cs="宋体"/>
                <w:color w:val="000000"/>
                <w:sz w:val="20"/>
                <w:szCs w:val="20"/>
              </w:rPr>
              <w:t>不超1400元/日/辆的标准</w:t>
            </w:r>
            <w:r>
              <w:rPr>
                <w:rFonts w:hint="eastAsia" w:ascii="宋体" w:hAnsi="宋体" w:eastAsia="宋体" w:cs="宋体"/>
                <w:color w:val="000000"/>
                <w:sz w:val="20"/>
                <w:szCs w:val="20"/>
                <w:lang w:eastAsia="zh-CN"/>
              </w:rPr>
              <w:t>；</w:t>
            </w:r>
            <w:r>
              <w:rPr>
                <w:rFonts w:hint="eastAsia" w:ascii="宋体" w:hAnsi="宋体" w:cs="宋体"/>
                <w:color w:val="000000"/>
                <w:sz w:val="20"/>
                <w:szCs w:val="20"/>
              </w:rPr>
              <w:t>10-25座中型客车</w:t>
            </w:r>
            <w:r>
              <w:rPr>
                <w:rFonts w:hint="eastAsia" w:ascii="宋体" w:hAnsi="宋体" w:cs="宋体"/>
                <w:color w:val="000000"/>
                <w:sz w:val="20"/>
                <w:szCs w:val="20"/>
                <w:lang w:val="en-US" w:eastAsia="zh-CN"/>
              </w:rPr>
              <w:t>4辆</w:t>
            </w:r>
            <w:r>
              <w:rPr>
                <w:rFonts w:hint="eastAsia" w:ascii="宋体" w:hAnsi="宋体" w:eastAsia="宋体" w:cs="宋体"/>
                <w:color w:val="000000"/>
                <w:sz w:val="20"/>
                <w:szCs w:val="20"/>
                <w:lang w:eastAsia="zh-CN"/>
              </w:rPr>
              <w:t>，</w:t>
            </w:r>
            <w:r>
              <w:rPr>
                <w:rFonts w:hint="eastAsia" w:ascii="宋体" w:hAnsi="宋体" w:cs="宋体"/>
                <w:color w:val="000000"/>
                <w:sz w:val="20"/>
                <w:szCs w:val="20"/>
              </w:rPr>
              <w:t>不超900元/日/辆的标准</w:t>
            </w:r>
          </w:p>
        </w:tc>
        <w:tc>
          <w:tcPr>
            <w:tcW w:w="2318" w:type="dxa"/>
            <w:vAlign w:val="center"/>
          </w:tcPr>
          <w:p>
            <w:pPr>
              <w:numPr>
                <w:ilvl w:val="0"/>
                <w:numId w:val="0"/>
              </w:numPr>
              <w:adjustRightInd w:val="0"/>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202</w:t>
            </w:r>
            <w:r>
              <w:rPr>
                <w:rFonts w:hint="eastAsia" w:ascii="宋体" w:hAnsi="宋体" w:cs="宋体"/>
                <w:color w:val="auto"/>
                <w:sz w:val="22"/>
                <w:szCs w:val="22"/>
                <w:lang w:val="en-US" w:eastAsia="zh-CN"/>
              </w:rPr>
              <w:t>2</w:t>
            </w:r>
            <w:r>
              <w:rPr>
                <w:rFonts w:hint="eastAsia" w:ascii="宋体" w:hAnsi="宋体" w:eastAsia="宋体" w:cs="宋体"/>
                <w:color w:val="auto"/>
                <w:sz w:val="22"/>
                <w:szCs w:val="22"/>
                <w:lang w:val="en-US" w:eastAsia="zh-CN"/>
              </w:rPr>
              <w:t>年</w:t>
            </w:r>
            <w:r>
              <w:rPr>
                <w:rFonts w:hint="eastAsia" w:ascii="宋体" w:hAnsi="宋体" w:cs="宋体"/>
                <w:color w:val="auto"/>
                <w:sz w:val="22"/>
                <w:szCs w:val="22"/>
                <w:lang w:val="en-US" w:eastAsia="zh-CN"/>
              </w:rPr>
              <w:t>9</w:t>
            </w:r>
            <w:r>
              <w:rPr>
                <w:rFonts w:hint="eastAsia" w:ascii="宋体" w:hAnsi="宋体" w:eastAsia="宋体" w:cs="宋体"/>
                <w:color w:val="auto"/>
                <w:sz w:val="22"/>
                <w:szCs w:val="22"/>
                <w:lang w:val="en-US" w:eastAsia="zh-CN"/>
              </w:rPr>
              <w:t>月3</w:t>
            </w:r>
            <w:r>
              <w:rPr>
                <w:rFonts w:hint="eastAsia" w:ascii="宋体" w:hAnsi="宋体" w:cs="宋体"/>
                <w:color w:val="auto"/>
                <w:sz w:val="22"/>
                <w:szCs w:val="22"/>
                <w:lang w:val="en-US" w:eastAsia="zh-CN"/>
              </w:rPr>
              <w:t>0</w:t>
            </w:r>
            <w:r>
              <w:rPr>
                <w:rFonts w:hint="eastAsia" w:ascii="宋体" w:hAnsi="宋体" w:eastAsia="宋体" w:cs="宋体"/>
                <w:color w:val="auto"/>
                <w:sz w:val="22"/>
                <w:szCs w:val="22"/>
                <w:lang w:val="en-US" w:eastAsia="zh-CN"/>
              </w:rPr>
              <w:t>日前</w:t>
            </w:r>
          </w:p>
        </w:tc>
      </w:tr>
    </w:tbl>
    <w:p>
      <w:pPr>
        <w:widowControl/>
        <w:numPr>
          <w:ilvl w:val="0"/>
          <w:numId w:val="0"/>
        </w:numPr>
        <w:wordWrap/>
        <w:adjustRightInd/>
        <w:snapToGrid/>
        <w:spacing w:line="560" w:lineRule="exact"/>
        <w:jc w:val="left"/>
        <w:textAlignment w:val="auto"/>
        <w:outlineLvl w:val="9"/>
        <w:rPr>
          <w:rFonts w:hint="eastAsia" w:asciiTheme="minorEastAsia" w:hAnsiTheme="minorEastAsia" w:eastAsiaTheme="minorEastAsia" w:cstheme="minorEastAsia"/>
          <w:color w:val="auto"/>
          <w:sz w:val="28"/>
          <w:szCs w:val="28"/>
          <w:lang w:eastAsia="zh-CN"/>
        </w:rPr>
      </w:pPr>
    </w:p>
    <w:p>
      <w:pPr>
        <w:spacing w:line="360" w:lineRule="auto"/>
        <w:ind w:left="435" w:leftChars="152" w:hanging="131" w:hangingChars="47"/>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三、体检项目及意义：</w:t>
      </w:r>
    </w:p>
    <w:tbl>
      <w:tblPr>
        <w:tblStyle w:val="7"/>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6"/>
        <w:gridCol w:w="2168"/>
        <w:gridCol w:w="3407"/>
        <w:gridCol w:w="942"/>
        <w:gridCol w:w="807"/>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00" w:hRule="atLeast"/>
        </w:trPr>
        <w:tc>
          <w:tcPr>
            <w:tcW w:w="806"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2168"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检查项目</w:t>
            </w:r>
          </w:p>
        </w:tc>
        <w:tc>
          <w:tcPr>
            <w:tcW w:w="3407"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检查意义</w:t>
            </w:r>
          </w:p>
        </w:tc>
        <w:tc>
          <w:tcPr>
            <w:tcW w:w="942"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男</w:t>
            </w:r>
          </w:p>
        </w:tc>
        <w:tc>
          <w:tcPr>
            <w:tcW w:w="807"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已婚女</w:t>
            </w:r>
          </w:p>
        </w:tc>
        <w:tc>
          <w:tcPr>
            <w:tcW w:w="807"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未婚女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0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16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一般检查、体格检查</w:t>
            </w:r>
          </w:p>
        </w:tc>
        <w:tc>
          <w:tcPr>
            <w:tcW w:w="3407"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身高、体重、血压、内科、外科、五官科（电耳镜检查、间接鼻咽镜、眼科）</w:t>
            </w: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80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216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妇科常规检查</w:t>
            </w:r>
          </w:p>
        </w:tc>
        <w:tc>
          <w:tcPr>
            <w:tcW w:w="3407"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包括窥窥阴器检查和双合诊检查，窥阴器通过观察外阴、阴道、宫颈、双合诊检查子宫、输卵管、卵巢，对妇科做出初步判断。也是宫颈癌筛查取样的必须检查手段。</w:t>
            </w: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80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216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HPV高危型检测（16、18、其他12型）</w:t>
            </w:r>
          </w:p>
        </w:tc>
        <w:tc>
          <w:tcPr>
            <w:tcW w:w="3407"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确定宫颈目前是否有高危型hpv感染，此病毒感染与宫颈癌的发生密切相关，是目前宫颈癌筛查常用检测方法。</w:t>
            </w: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0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216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肝、胆、脾、胰彩超</w:t>
            </w:r>
          </w:p>
        </w:tc>
        <w:tc>
          <w:tcPr>
            <w:tcW w:w="3407"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肝胆脾胰等器官肿瘤、结石、囊肿、血管瘤等病变。</w:t>
            </w: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0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216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双肾输尿管膀胱前列腺彩超 </w:t>
            </w:r>
          </w:p>
        </w:tc>
        <w:tc>
          <w:tcPr>
            <w:tcW w:w="3407"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筛查双肾的肿瘤、结石及前列腺炎症、肥大、肿瘤等情况。彩超可以更加清楚了解泌尿系统及前列腺的疾病及血流变化情况。</w:t>
            </w: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80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216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双肾输尿管膀胱彩超</w:t>
            </w:r>
          </w:p>
        </w:tc>
        <w:tc>
          <w:tcPr>
            <w:tcW w:w="3407"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了解泌尿系统的疾病，如：肾有无萎缩、囊肿、结石、占位性病变等；排查输尿管有无梗阻，如结石；膀胱是否有结石、占位性病变等。彩超可以更加清楚了解泌尿系统的疾病及血流变化情况。</w:t>
            </w: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80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216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妇科阴道彩超</w:t>
            </w:r>
          </w:p>
        </w:tc>
        <w:tc>
          <w:tcPr>
            <w:tcW w:w="3407" w:type="dxa"/>
            <w:vMerge w:val="restar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查子宫、附件的状况，以发现卵巢肿瘤、子宫肌瘤与盆腔炎等。 </w:t>
            </w: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80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216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妇科彩超</w:t>
            </w:r>
          </w:p>
        </w:tc>
        <w:tc>
          <w:tcPr>
            <w:tcW w:w="3407" w:type="dxa"/>
            <w:vMerge w:val="continue"/>
            <w:shd w:val="clear" w:color="auto" w:fill="FFFFFF"/>
            <w:vAlign w:val="center"/>
          </w:tcPr>
          <w:p>
            <w:pPr>
              <w:jc w:val="left"/>
              <w:rPr>
                <w:rFonts w:hint="eastAsia" w:ascii="宋体" w:hAnsi="宋体" w:eastAsia="宋体" w:cs="宋体"/>
                <w:i w:val="0"/>
                <w:iCs w:val="0"/>
                <w:color w:val="auto"/>
                <w:sz w:val="20"/>
                <w:szCs w:val="20"/>
                <w:u w:val="none"/>
              </w:rPr>
            </w:pP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80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216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双侧乳腺彩超</w:t>
            </w:r>
          </w:p>
        </w:tc>
        <w:tc>
          <w:tcPr>
            <w:tcW w:w="3407"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诊断乳腺良性结节、肿瘤，乳腺癌的早期诊断，对于乳腺癌的早期诊断和进展情况的评价，具有一定的临床价值，是乳腺癌诊断的首要检查。</w:t>
            </w: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80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216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甲状腺及颈部淋巴结彩超</w:t>
            </w:r>
          </w:p>
        </w:tc>
        <w:tc>
          <w:tcPr>
            <w:tcW w:w="3407"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筛查甲状腺疾病，可检出甲状腺结节、甲状腺癌、炎症（桥本氏甲状腺炎、亚急性甲状腺炎）、甲亢、甲减等疾病，尤其是甲状腺乳头状癌的早期检出率。运用TI-RADS分类系统提示甲状腺结节危险分层，为临床提供诊疗建议，既做到恶性结节早发现早诊断早治疗，同时又避免部分良性结节的不必要手术。</w:t>
            </w: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80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216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胸部正侧位（不含片）</w:t>
            </w:r>
          </w:p>
        </w:tc>
        <w:tc>
          <w:tcPr>
            <w:tcW w:w="3407"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有利于纵隔、心影后及肋骨遮掩的病变的检出，观察心脏侧位形态等，通过数字化成像及存贮，不需冲片及保留X光片，全面提升图像质量，提高诊断率且减少辐射。</w:t>
            </w: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0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216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心电图（十五导联）</w:t>
            </w:r>
          </w:p>
        </w:tc>
        <w:tc>
          <w:tcPr>
            <w:tcW w:w="3407"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对诊断各种类型的心律失常，心脏传导阻滞，心肌梗死，心肌缺血，房室肥大，心肌或心包疾病对心脏的作用、影响，具有非常重要的意义。</w:t>
            </w: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80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216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13碳尿素呼气试验</w:t>
            </w:r>
          </w:p>
        </w:tc>
        <w:tc>
          <w:tcPr>
            <w:tcW w:w="3407"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测定服药前后呼气样本中12C/13C比值，若呼气后若呼气后δ值减去呼气前δ值之差&gt;4，则为感染幽门螺杆菌，本项目是检查幽门螺旋杆菌的最佳方法，具有无创伤、无痛苦、简便、安全等优点，准确率达到95%以上。</w:t>
            </w: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80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216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肝功四项（血清丙氨酸氨基转移酶ALT、血清天门冬氨酸氨基转移酶AST、血清碱性磷酸酶ALP、血清γ-谷氨酰基转移酶γ-GGT）</w:t>
            </w:r>
          </w:p>
        </w:tc>
        <w:tc>
          <w:tcPr>
            <w:tcW w:w="3407"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肝脏功能评估，了解肝细胞损伤的程度及肝胆管功能评价。</w:t>
            </w: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0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216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肾功五项（血清尿素、血清肌酐、血清胱抑素C、血清β2微球蛋白β2-MG、尿酸）</w:t>
            </w:r>
          </w:p>
        </w:tc>
        <w:tc>
          <w:tcPr>
            <w:tcW w:w="3407"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了解肾脏功能、肾功能、嘌呤代谢评估，痛风风险预测及治疗效果评价。</w:t>
            </w: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0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216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血糖</w:t>
            </w:r>
          </w:p>
        </w:tc>
        <w:tc>
          <w:tcPr>
            <w:tcW w:w="3407"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糖代谢评价,糖尿病诊断、治疗监测。</w:t>
            </w: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80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216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血脂四项（血清总胆固醇、血清甘油三酯、血清高密度脂蛋白胆固醇、血清低密度脂蛋白胆固醇）</w:t>
            </w:r>
          </w:p>
        </w:tc>
        <w:tc>
          <w:tcPr>
            <w:tcW w:w="34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了解血脂水平，脂代谢评价，高脂血症诊断。</w:t>
            </w: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0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216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胆红素二项（血清总胆红素测定、血清直接胆红素测定）</w:t>
            </w:r>
          </w:p>
        </w:tc>
        <w:tc>
          <w:tcPr>
            <w:tcW w:w="34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用于溶血性、肝细胞性和阻塞性黄疸的鉴别与诊断。</w:t>
            </w: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80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216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甲功三项（促甲状腺激素、游离T3、游离T4）</w:t>
            </w:r>
          </w:p>
        </w:tc>
        <w:tc>
          <w:tcPr>
            <w:tcW w:w="34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甲状腺功能判定,甲亢或者甲低等甲状腺功性能疾病的判断。了解甲状腺分泌功能及免疫状状况，检查是否有甲状腺功能亢进或减退、炎症，也用于治疗过程中激素水平的监测和疗效评估。</w:t>
            </w: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0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216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超敏C-反应蛋白测定（HsCRP）</w:t>
            </w:r>
          </w:p>
        </w:tc>
        <w:tc>
          <w:tcPr>
            <w:tcW w:w="3407" w:type="dxa"/>
            <w:vMerge w:val="restar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了解与血管硬化、冠心病、中风、糖尿病等疾病的相关性。</w:t>
            </w: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0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216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血同型半胱氨酸测定（HCY）</w:t>
            </w:r>
          </w:p>
        </w:tc>
        <w:tc>
          <w:tcPr>
            <w:tcW w:w="3407" w:type="dxa"/>
            <w:vMerge w:val="continue"/>
            <w:shd w:val="clear" w:color="auto" w:fill="FFFFFF"/>
            <w:vAlign w:val="center"/>
          </w:tcPr>
          <w:p>
            <w:pPr>
              <w:jc w:val="left"/>
              <w:rPr>
                <w:rFonts w:hint="eastAsia" w:ascii="宋体" w:hAnsi="宋体" w:eastAsia="宋体" w:cs="宋体"/>
                <w:i w:val="0"/>
                <w:iCs w:val="0"/>
                <w:color w:val="auto"/>
                <w:sz w:val="20"/>
                <w:szCs w:val="20"/>
                <w:u w:val="none"/>
              </w:rPr>
            </w:pP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80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216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甲胎蛋白定量测定</w:t>
            </w:r>
          </w:p>
        </w:tc>
        <w:tc>
          <w:tcPr>
            <w:tcW w:w="34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早期诊断肝癌和预警效果，为原发性肝癌的较为特异、灵敏的标志物。</w:t>
            </w: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0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216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EB病毒抗体测定</w:t>
            </w:r>
          </w:p>
        </w:tc>
        <w:tc>
          <w:tcPr>
            <w:tcW w:w="34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早期筛查评估鼻咽癌发病风险，联合其它EB指标可提高筛查灵敏度。</w:t>
            </w: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0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216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癌胚抗原定性测定</w:t>
            </w:r>
          </w:p>
        </w:tc>
        <w:tc>
          <w:tcPr>
            <w:tcW w:w="34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广谱肿瘤标志物。</w:t>
            </w: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80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216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前列腺肿瘤筛查二项（总前列腺抗原 TPSA、游离前列腺抗原 FPSA）</w:t>
            </w:r>
          </w:p>
        </w:tc>
        <w:tc>
          <w:tcPr>
            <w:tcW w:w="34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包括总前列腺特异性抗原测定(tPSA)、游离前列腺特异性抗原测定(fPSA)，对前列腺癌筛查、前列腺术后有重要评估作用。</w:t>
            </w: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0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216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血常规（五分类）</w:t>
            </w:r>
          </w:p>
        </w:tc>
        <w:tc>
          <w:tcPr>
            <w:tcW w:w="34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辅助诊断感染性疾病、贫血和各种血液病。</w:t>
            </w: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0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216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尿液分析+尿沉渣分析</w:t>
            </w:r>
          </w:p>
        </w:tc>
        <w:tc>
          <w:tcPr>
            <w:tcW w:w="34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筛查泌尿系统疾病简单且准确的方法、泌尿系统疾病鉴别。</w:t>
            </w: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80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216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粪便常规+OB+肝吸虫集卵</w:t>
            </w:r>
          </w:p>
        </w:tc>
        <w:tc>
          <w:tcPr>
            <w:tcW w:w="34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常规粪便有形成分检验，隐血试验可协助消化道出血或早期肿瘤的筛查，寄生虫卵的检验。</w:t>
            </w: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0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216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静脉采血、采血管</w:t>
            </w:r>
          </w:p>
        </w:tc>
        <w:tc>
          <w:tcPr>
            <w:tcW w:w="3407" w:type="dxa"/>
            <w:shd w:val="clear" w:color="auto" w:fill="auto"/>
            <w:vAlign w:val="center"/>
          </w:tcPr>
          <w:p>
            <w:pPr>
              <w:jc w:val="left"/>
              <w:rPr>
                <w:rFonts w:hint="eastAsia" w:ascii="宋体" w:hAnsi="宋体" w:eastAsia="宋体" w:cs="宋体"/>
                <w:i w:val="0"/>
                <w:iCs w:val="0"/>
                <w:color w:val="auto"/>
                <w:sz w:val="20"/>
                <w:szCs w:val="20"/>
                <w:u w:val="none"/>
              </w:rPr>
            </w:pP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0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216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超声计算机图文报告</w:t>
            </w:r>
          </w:p>
        </w:tc>
        <w:tc>
          <w:tcPr>
            <w:tcW w:w="3407" w:type="dxa"/>
            <w:shd w:val="clear" w:color="auto" w:fill="auto"/>
            <w:vAlign w:val="center"/>
          </w:tcPr>
          <w:p>
            <w:pPr>
              <w:jc w:val="left"/>
              <w:rPr>
                <w:rFonts w:hint="eastAsia" w:ascii="宋体" w:hAnsi="宋体" w:eastAsia="宋体" w:cs="宋体"/>
                <w:i w:val="0"/>
                <w:iCs w:val="0"/>
                <w:color w:val="auto"/>
                <w:sz w:val="20"/>
                <w:szCs w:val="20"/>
                <w:u w:val="none"/>
              </w:rPr>
            </w:pP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80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216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建立健康档案</w:t>
            </w:r>
          </w:p>
        </w:tc>
        <w:tc>
          <w:tcPr>
            <w:tcW w:w="3407" w:type="dxa"/>
            <w:shd w:val="clear" w:color="auto" w:fill="FFFFFF"/>
            <w:vAlign w:val="center"/>
          </w:tcPr>
          <w:p>
            <w:pPr>
              <w:jc w:val="left"/>
              <w:rPr>
                <w:rFonts w:hint="eastAsia" w:ascii="宋体" w:hAnsi="宋体" w:eastAsia="宋体" w:cs="宋体"/>
                <w:i w:val="0"/>
                <w:iCs w:val="0"/>
                <w:color w:val="auto"/>
                <w:sz w:val="20"/>
                <w:szCs w:val="20"/>
                <w:u w:val="none"/>
              </w:rPr>
            </w:pPr>
          </w:p>
        </w:tc>
        <w:tc>
          <w:tcPr>
            <w:tcW w:w="9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bl>
    <w:p>
      <w:pPr>
        <w:spacing w:before="120" w:beforeLines="50" w:line="360" w:lineRule="auto"/>
        <w:jc w:val="left"/>
        <w:rPr>
          <w:rFonts w:ascii="宋体"/>
          <w:bCs/>
          <w:szCs w:val="21"/>
        </w:rPr>
      </w:pPr>
      <w:r>
        <w:rPr>
          <w:rFonts w:hint="eastAsia" w:ascii="宋体" w:hAnsi="宋体"/>
          <w:bCs/>
          <w:szCs w:val="21"/>
        </w:rPr>
        <w:t>备注：“</w:t>
      </w:r>
      <w:r>
        <w:rPr>
          <w:rFonts w:hint="eastAsia" w:ascii="宋体" w:hAnsi="宋体"/>
          <w:b/>
          <w:szCs w:val="21"/>
          <w:lang w:val="en-GB"/>
        </w:rPr>
        <w:t>√</w:t>
      </w:r>
      <w:r>
        <w:rPr>
          <w:rFonts w:hint="eastAsia" w:ascii="宋体" w:hAnsi="宋体"/>
          <w:bCs/>
          <w:szCs w:val="21"/>
        </w:rPr>
        <w:t>”表示需要体检项目，“</w:t>
      </w:r>
      <w:r>
        <w:rPr>
          <w:rFonts w:hint="eastAsia" w:ascii="宋体" w:hAnsi="MS Gothic" w:eastAsia="MS Gothic" w:cs="MS Gothic"/>
          <w:b/>
          <w:szCs w:val="21"/>
          <w:shd w:val="clear" w:color="auto" w:fill="FFFFFF"/>
        </w:rPr>
        <w:t>✕</w:t>
      </w:r>
      <w:r>
        <w:rPr>
          <w:rFonts w:hint="eastAsia" w:ascii="宋体" w:hAnsi="宋体"/>
          <w:bCs/>
          <w:szCs w:val="21"/>
        </w:rPr>
        <w:t>”表示不需要体检项目。</w:t>
      </w:r>
    </w:p>
    <w:bookmarkEnd w:id="0"/>
    <w:bookmarkEnd w:id="1"/>
    <w:bookmarkEnd w:id="2"/>
    <w:bookmarkEnd w:id="3"/>
    <w:p>
      <w:pPr>
        <w:rPr>
          <w:b/>
          <w:bCs/>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in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516AA"/>
    <w:multiLevelType w:val="multilevel"/>
    <w:tmpl w:val="1BC516AA"/>
    <w:lvl w:ilvl="0" w:tentative="0">
      <w:start w:val="1"/>
      <w:numFmt w:val="chineseCountingThousand"/>
      <w:lvlText w:val="(%1)"/>
      <w:lvlJc w:val="left"/>
      <w:pPr>
        <w:ind w:left="840" w:hanging="420"/>
      </w:pPr>
    </w:lvl>
    <w:lvl w:ilvl="1" w:tentative="0">
      <w:start w:val="1"/>
      <w:numFmt w:val="chineseCountingThousand"/>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c1OGVmMzY4ZTBhZjViZDQxYWVlYWQ4M2ZiOTczZWEifQ=="/>
  </w:docVars>
  <w:rsids>
    <w:rsidRoot w:val="00E84286"/>
    <w:rsid w:val="001A0E55"/>
    <w:rsid w:val="001A78A5"/>
    <w:rsid w:val="001F6ADF"/>
    <w:rsid w:val="002402A1"/>
    <w:rsid w:val="003A2FC1"/>
    <w:rsid w:val="003C0874"/>
    <w:rsid w:val="004D6270"/>
    <w:rsid w:val="004F41E4"/>
    <w:rsid w:val="008520C1"/>
    <w:rsid w:val="008D502C"/>
    <w:rsid w:val="008F634D"/>
    <w:rsid w:val="0098095F"/>
    <w:rsid w:val="009F7F6F"/>
    <w:rsid w:val="00A42205"/>
    <w:rsid w:val="00DD0E42"/>
    <w:rsid w:val="00E84286"/>
    <w:rsid w:val="00F371F6"/>
    <w:rsid w:val="00F84F7C"/>
    <w:rsid w:val="00F91372"/>
    <w:rsid w:val="02714395"/>
    <w:rsid w:val="03774EE7"/>
    <w:rsid w:val="049A7BD3"/>
    <w:rsid w:val="04B35139"/>
    <w:rsid w:val="052D6C99"/>
    <w:rsid w:val="06A116ED"/>
    <w:rsid w:val="072440CC"/>
    <w:rsid w:val="08E45931"/>
    <w:rsid w:val="09945539"/>
    <w:rsid w:val="0AAC68B2"/>
    <w:rsid w:val="0AAD0079"/>
    <w:rsid w:val="0B557AE9"/>
    <w:rsid w:val="0D9E6986"/>
    <w:rsid w:val="0DB37F58"/>
    <w:rsid w:val="0FC96F01"/>
    <w:rsid w:val="131B45D5"/>
    <w:rsid w:val="136B37F1"/>
    <w:rsid w:val="15D632E8"/>
    <w:rsid w:val="1783099B"/>
    <w:rsid w:val="179C380B"/>
    <w:rsid w:val="1B0342CC"/>
    <w:rsid w:val="1B8D44A7"/>
    <w:rsid w:val="1ED132F1"/>
    <w:rsid w:val="26D97D1E"/>
    <w:rsid w:val="27DF3D3E"/>
    <w:rsid w:val="280E62D9"/>
    <w:rsid w:val="28BB6E5A"/>
    <w:rsid w:val="298A2AEB"/>
    <w:rsid w:val="2A1A795C"/>
    <w:rsid w:val="2AAC71D0"/>
    <w:rsid w:val="2ED3377B"/>
    <w:rsid w:val="30314FE0"/>
    <w:rsid w:val="30470360"/>
    <w:rsid w:val="32EC51EE"/>
    <w:rsid w:val="33AE06F6"/>
    <w:rsid w:val="3478634A"/>
    <w:rsid w:val="34DE668C"/>
    <w:rsid w:val="3550415A"/>
    <w:rsid w:val="3647730B"/>
    <w:rsid w:val="37FD69F8"/>
    <w:rsid w:val="390037A2"/>
    <w:rsid w:val="39194863"/>
    <w:rsid w:val="40C559FD"/>
    <w:rsid w:val="41CC1A26"/>
    <w:rsid w:val="41F14BC8"/>
    <w:rsid w:val="43374264"/>
    <w:rsid w:val="44DE141F"/>
    <w:rsid w:val="4597548E"/>
    <w:rsid w:val="4599131A"/>
    <w:rsid w:val="482A4397"/>
    <w:rsid w:val="490B241B"/>
    <w:rsid w:val="49900B72"/>
    <w:rsid w:val="49C03C5A"/>
    <w:rsid w:val="4AA06B93"/>
    <w:rsid w:val="4B5A0B53"/>
    <w:rsid w:val="4B5A4F93"/>
    <w:rsid w:val="4C481290"/>
    <w:rsid w:val="4F18763F"/>
    <w:rsid w:val="4F4A4EF0"/>
    <w:rsid w:val="4F8E345D"/>
    <w:rsid w:val="518F12E0"/>
    <w:rsid w:val="52214A5D"/>
    <w:rsid w:val="525309DE"/>
    <w:rsid w:val="5309722F"/>
    <w:rsid w:val="53D843D5"/>
    <w:rsid w:val="55763FD6"/>
    <w:rsid w:val="57EB6699"/>
    <w:rsid w:val="59AC10B0"/>
    <w:rsid w:val="5C376146"/>
    <w:rsid w:val="63AC7EFE"/>
    <w:rsid w:val="63B219B9"/>
    <w:rsid w:val="63CB2A7A"/>
    <w:rsid w:val="670F2C7E"/>
    <w:rsid w:val="6740552D"/>
    <w:rsid w:val="67F37334"/>
    <w:rsid w:val="67F65BEC"/>
    <w:rsid w:val="68555008"/>
    <w:rsid w:val="6C335661"/>
    <w:rsid w:val="6CDF1345"/>
    <w:rsid w:val="6FFA461B"/>
    <w:rsid w:val="706E7490"/>
    <w:rsid w:val="764052D8"/>
    <w:rsid w:val="7AA15E8B"/>
    <w:rsid w:val="7D2C3501"/>
    <w:rsid w:val="7E721285"/>
    <w:rsid w:val="7FB64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kern w:val="0"/>
      <w:sz w:val="20"/>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15"/>
    <w:semiHidden/>
    <w:unhideWhenUsed/>
    <w:qFormat/>
    <w:uiPriority w:val="99"/>
    <w:pPr>
      <w:ind w:firstLine="420" w:firstLineChars="200"/>
    </w:pPr>
  </w:style>
  <w:style w:type="paragraph" w:styleId="3">
    <w:name w:val="Body Text Indent"/>
    <w:basedOn w:val="1"/>
    <w:link w:val="14"/>
    <w:semiHidden/>
    <w:unhideWhenUsed/>
    <w:qFormat/>
    <w:uiPriority w:val="99"/>
    <w:pPr>
      <w:spacing w:after="120"/>
      <w:ind w:left="420" w:leftChars="200"/>
    </w:pPr>
  </w:style>
  <w:style w:type="paragraph" w:styleId="4">
    <w:name w:val="annotation text"/>
    <w:basedOn w:val="1"/>
    <w:qFormat/>
    <w:uiPriority w:val="0"/>
    <w:pPr>
      <w:jc w:val="left"/>
    </w:p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Hyperlink"/>
    <w:qFormat/>
    <w:uiPriority w:val="99"/>
    <w:rPr>
      <w:color w:val="0000FF"/>
      <w:u w:val="single"/>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paragraph" w:customStyle="1" w:styleId="13">
    <w:name w:val="_Style 3"/>
    <w:qFormat/>
    <w:uiPriority w:val="0"/>
    <w:pPr>
      <w:widowControl w:val="0"/>
      <w:jc w:val="both"/>
    </w:pPr>
    <w:rPr>
      <w:rFonts w:ascii="Times New Roman" w:hAnsi="Times New Roman" w:eastAsia="宋体" w:cs="Times New Roman"/>
      <w:kern w:val="0"/>
      <w:sz w:val="20"/>
      <w:szCs w:val="20"/>
      <w:lang w:val="en-US" w:eastAsia="zh-CN" w:bidi="ar-SA"/>
    </w:rPr>
  </w:style>
  <w:style w:type="character" w:customStyle="1" w:styleId="14">
    <w:name w:val="正文文本缩进 Char"/>
    <w:basedOn w:val="9"/>
    <w:link w:val="3"/>
    <w:semiHidden/>
    <w:qFormat/>
    <w:uiPriority w:val="99"/>
    <w:rPr>
      <w:rFonts w:ascii="Times New Roman" w:hAnsi="Times New Roman" w:eastAsia="宋体" w:cs="Times New Roman"/>
      <w:kern w:val="0"/>
      <w:sz w:val="20"/>
      <w:szCs w:val="24"/>
    </w:rPr>
  </w:style>
  <w:style w:type="character" w:customStyle="1" w:styleId="15">
    <w:name w:val="正文首行缩进 2 Char"/>
    <w:basedOn w:val="14"/>
    <w:link w:val="2"/>
    <w:semiHidden/>
    <w:qFormat/>
    <w:uiPriority w:val="99"/>
  </w:style>
  <w:style w:type="paragraph" w:styleId="16">
    <w:name w:val="List Paragraph"/>
    <w:basedOn w:val="1"/>
    <w:qFormat/>
    <w:uiPriority w:val="1"/>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6341</Words>
  <Characters>6541</Characters>
  <Lines>32</Lines>
  <Paragraphs>9</Paragraphs>
  <TotalTime>7</TotalTime>
  <ScaleCrop>false</ScaleCrop>
  <LinksUpToDate>false</LinksUpToDate>
  <CharactersWithSpaces>6601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2022-01-11T09:04:00Z</dcterms:created>
  <dc:creator>Administrator</dc:creator>
  <cp:lastModifiedBy>sng1-bgs-yhf</cp:lastModifiedBy>
  <cp:lastPrinted>2022-05-07T04:12:00Z</cp:lastPrinted>
  <dcterms:modified xsi:type="dcterms:W3CDTF">2022-05-16T00:45:13Z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E766F5B4F43149919E71F0CD07BDC7C5</vt:lpwstr>
  </property>
</Properties>
</file>