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7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 w14:paraId="54AF2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</w:p>
    <w:p w14:paraId="488DE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广州青年就业创业孵化基地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认定评估表</w:t>
      </w:r>
    </w:p>
    <w:bookmarkEnd w:id="0"/>
    <w:p w14:paraId="39D6C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基地名称：</w:t>
      </w:r>
    </w:p>
    <w:tbl>
      <w:tblPr>
        <w:tblStyle w:val="3"/>
        <w:tblW w:w="514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6045"/>
        <w:gridCol w:w="929"/>
        <w:gridCol w:w="616"/>
        <w:gridCol w:w="478"/>
      </w:tblGrid>
      <w:tr w14:paraId="0DFDD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72" w:type="pct"/>
            <w:tcBorders>
              <w:bottom w:val="single" w:color="000000" w:sz="4" w:space="0"/>
            </w:tcBorders>
            <w:noWrap w:val="0"/>
            <w:vAlign w:val="center"/>
          </w:tcPr>
          <w:p w14:paraId="0E69F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  <w:t>考核内容</w:t>
            </w:r>
          </w:p>
        </w:tc>
        <w:tc>
          <w:tcPr>
            <w:tcW w:w="3317" w:type="pct"/>
            <w:tcBorders>
              <w:bottom w:val="single" w:color="000000" w:sz="4" w:space="0"/>
            </w:tcBorders>
            <w:noWrap w:val="0"/>
            <w:vAlign w:val="center"/>
          </w:tcPr>
          <w:p w14:paraId="5FEB3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具体指标</w:t>
            </w:r>
          </w:p>
        </w:tc>
        <w:tc>
          <w:tcPr>
            <w:tcW w:w="510" w:type="pct"/>
            <w:tcBorders>
              <w:bottom w:val="single" w:color="000000" w:sz="4" w:space="0"/>
            </w:tcBorders>
            <w:noWrap w:val="0"/>
            <w:vAlign w:val="center"/>
          </w:tcPr>
          <w:p w14:paraId="09D29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  <w:t>分数</w:t>
            </w:r>
          </w:p>
        </w:tc>
        <w:tc>
          <w:tcPr>
            <w:tcW w:w="338" w:type="pct"/>
            <w:tcBorders>
              <w:bottom w:val="single" w:color="000000" w:sz="4" w:space="0"/>
            </w:tcBorders>
            <w:noWrap w:val="0"/>
            <w:vAlign w:val="center"/>
          </w:tcPr>
          <w:p w14:paraId="29963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  <w:t>专家评分</w:t>
            </w:r>
          </w:p>
        </w:tc>
        <w:tc>
          <w:tcPr>
            <w:tcW w:w="261" w:type="pct"/>
            <w:tcBorders>
              <w:bottom w:val="single" w:color="000000" w:sz="4" w:space="0"/>
            </w:tcBorders>
            <w:noWrap w:val="0"/>
            <w:vAlign w:val="center"/>
          </w:tcPr>
          <w:p w14:paraId="5244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  <w:t>备注</w:t>
            </w:r>
          </w:p>
        </w:tc>
      </w:tr>
      <w:tr w14:paraId="5B1F6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noWrap w:val="0"/>
            <w:vAlign w:val="center"/>
          </w:tcPr>
          <w:p w14:paraId="0DD74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  <w:t>一票否决</w:t>
            </w:r>
          </w:p>
        </w:tc>
        <w:tc>
          <w:tcPr>
            <w:tcW w:w="3317" w:type="pct"/>
            <w:tcBorders>
              <w:bottom w:val="single" w:color="000000" w:sz="4" w:space="0"/>
            </w:tcBorders>
            <w:noWrap w:val="0"/>
            <w:vAlign w:val="center"/>
          </w:tcPr>
          <w:p w14:paraId="620A4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u w:val="none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u w:val="none"/>
                <w:lang w:eastAsia="zh-CN"/>
              </w:rPr>
              <w:t>（园区）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u w:val="none"/>
              </w:rPr>
              <w:t>法定代表人或负责人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u w:val="none"/>
                <w:lang w:eastAsia="zh-CN"/>
              </w:rPr>
              <w:t>存在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u w:val="none"/>
              </w:rPr>
              <w:t>违法违纪记录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u w:val="none"/>
                <w:lang w:eastAsia="zh-CN"/>
              </w:rPr>
              <w:t>，或园区在消防、安全生产、环保、规划报建等方面存在违规行为的，将直接取消认定资格，相关申请不予受理。</w:t>
            </w:r>
          </w:p>
        </w:tc>
        <w:tc>
          <w:tcPr>
            <w:tcW w:w="510" w:type="pct"/>
            <w:tcBorders>
              <w:bottom w:val="single" w:color="000000" w:sz="4" w:space="0"/>
            </w:tcBorders>
            <w:noWrap w:val="0"/>
            <w:vAlign w:val="center"/>
          </w:tcPr>
          <w:p w14:paraId="1F456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8" w:type="pct"/>
            <w:tcBorders>
              <w:bottom w:val="single" w:color="000000" w:sz="4" w:space="0"/>
            </w:tcBorders>
            <w:noWrap w:val="0"/>
            <w:vAlign w:val="center"/>
          </w:tcPr>
          <w:p w14:paraId="6034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bottom w:val="single" w:color="000000" w:sz="4" w:space="0"/>
            </w:tcBorders>
            <w:noWrap w:val="0"/>
            <w:vAlign w:val="center"/>
          </w:tcPr>
          <w:p w14:paraId="77082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</w:tr>
      <w:tr w14:paraId="0E232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72" w:type="pct"/>
            <w:vMerge w:val="restart"/>
            <w:noWrap w:val="0"/>
            <w:vAlign w:val="center"/>
          </w:tcPr>
          <w:p w14:paraId="1D96C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eastAsia="zh-CN"/>
              </w:rPr>
              <w:t>水平</w:t>
            </w:r>
          </w:p>
          <w:p w14:paraId="7EC4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分</w:t>
            </w:r>
          </w:p>
        </w:tc>
        <w:tc>
          <w:tcPr>
            <w:tcW w:w="3317" w:type="pct"/>
            <w:tcBorders>
              <w:bottom w:val="single" w:color="000000" w:sz="4" w:space="0"/>
            </w:tcBorders>
            <w:noWrap w:val="0"/>
            <w:vAlign w:val="center"/>
          </w:tcPr>
          <w:p w14:paraId="5E1C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管理制度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  <w:t>、管理机构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完善程度</w:t>
            </w:r>
          </w:p>
        </w:tc>
        <w:tc>
          <w:tcPr>
            <w:tcW w:w="510" w:type="pct"/>
            <w:tcBorders>
              <w:bottom w:val="single" w:color="000000" w:sz="4" w:space="0"/>
            </w:tcBorders>
            <w:noWrap w:val="0"/>
            <w:vAlign w:val="center"/>
          </w:tcPr>
          <w:p w14:paraId="38AF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38" w:type="pct"/>
            <w:tcBorders>
              <w:bottom w:val="single" w:color="000000" w:sz="4" w:space="0"/>
            </w:tcBorders>
            <w:noWrap w:val="0"/>
            <w:vAlign w:val="center"/>
          </w:tcPr>
          <w:p w14:paraId="0927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bottom w:val="single" w:color="000000" w:sz="4" w:space="0"/>
            </w:tcBorders>
            <w:noWrap w:val="0"/>
            <w:vAlign w:val="center"/>
          </w:tcPr>
          <w:p w14:paraId="03EB6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</w:tr>
      <w:tr w14:paraId="2332F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435B3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bottom w:val="single" w:color="000000" w:sz="4" w:space="0"/>
            </w:tcBorders>
            <w:noWrap w:val="0"/>
            <w:vAlign w:val="center"/>
          </w:tcPr>
          <w:p w14:paraId="0FA03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接受专业培训的孵化器从业人员比例</w:t>
            </w:r>
          </w:p>
        </w:tc>
        <w:tc>
          <w:tcPr>
            <w:tcW w:w="510" w:type="pct"/>
            <w:tcBorders>
              <w:bottom w:val="single" w:color="000000" w:sz="4" w:space="0"/>
            </w:tcBorders>
            <w:noWrap w:val="0"/>
            <w:vAlign w:val="center"/>
          </w:tcPr>
          <w:p w14:paraId="67CE6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38" w:type="pct"/>
            <w:tcBorders>
              <w:bottom w:val="single" w:color="000000" w:sz="4" w:space="0"/>
            </w:tcBorders>
            <w:noWrap w:val="0"/>
            <w:vAlign w:val="center"/>
          </w:tcPr>
          <w:p w14:paraId="63950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bottom w:val="single" w:color="000000" w:sz="4" w:space="0"/>
            </w:tcBorders>
            <w:noWrap w:val="0"/>
            <w:vAlign w:val="center"/>
          </w:tcPr>
          <w:p w14:paraId="0211C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</w:tr>
      <w:tr w14:paraId="3C711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restart"/>
            <w:noWrap w:val="0"/>
            <w:vAlign w:val="center"/>
          </w:tcPr>
          <w:p w14:paraId="42760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服务能力</w:t>
            </w:r>
          </w:p>
          <w:p w14:paraId="3D21F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分</w:t>
            </w:r>
          </w:p>
        </w:tc>
        <w:tc>
          <w:tcPr>
            <w:tcW w:w="3317" w:type="pct"/>
            <w:tcBorders>
              <w:right w:val="single" w:color="auto" w:sz="4" w:space="0"/>
            </w:tcBorders>
            <w:noWrap w:val="0"/>
            <w:vAlign w:val="center"/>
          </w:tcPr>
          <w:p w14:paraId="1BB29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="210"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孵化场地面积</w:t>
            </w:r>
          </w:p>
        </w:tc>
        <w:tc>
          <w:tcPr>
            <w:tcW w:w="510" w:type="pct"/>
            <w:tcBorders>
              <w:left w:val="single" w:color="auto" w:sz="4" w:space="0"/>
            </w:tcBorders>
            <w:noWrap w:val="0"/>
            <w:vAlign w:val="center"/>
          </w:tcPr>
          <w:p w14:paraId="66B2B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left w:val="single" w:color="auto" w:sz="4" w:space="0"/>
            </w:tcBorders>
            <w:noWrap w:val="0"/>
            <w:vAlign w:val="center"/>
          </w:tcPr>
          <w:p w14:paraId="2D85E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left w:val="single" w:color="auto" w:sz="4" w:space="0"/>
            </w:tcBorders>
            <w:noWrap w:val="0"/>
            <w:vAlign w:val="center"/>
          </w:tcPr>
          <w:p w14:paraId="05D62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57291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1E73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right w:val="single" w:color="auto" w:sz="4" w:space="0"/>
            </w:tcBorders>
            <w:noWrap w:val="0"/>
            <w:vAlign w:val="center"/>
          </w:tcPr>
          <w:p w14:paraId="13A93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创业配套服务种类及服务活动场次</w:t>
            </w:r>
          </w:p>
        </w:tc>
        <w:tc>
          <w:tcPr>
            <w:tcW w:w="510" w:type="pct"/>
            <w:tcBorders>
              <w:left w:val="single" w:color="auto" w:sz="4" w:space="0"/>
            </w:tcBorders>
            <w:noWrap w:val="0"/>
            <w:vAlign w:val="center"/>
          </w:tcPr>
          <w:p w14:paraId="36884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left w:val="single" w:color="auto" w:sz="4" w:space="0"/>
            </w:tcBorders>
            <w:noWrap w:val="0"/>
            <w:vAlign w:val="center"/>
          </w:tcPr>
          <w:p w14:paraId="5FAF3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left w:val="single" w:color="auto" w:sz="4" w:space="0"/>
            </w:tcBorders>
            <w:noWrap w:val="0"/>
            <w:vAlign w:val="center"/>
          </w:tcPr>
          <w:p w14:paraId="1879F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32A80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54525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right w:val="single" w:color="auto" w:sz="4" w:space="0"/>
            </w:tcBorders>
            <w:noWrap w:val="0"/>
            <w:vAlign w:val="center"/>
          </w:tcPr>
          <w:p w14:paraId="27B06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签约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创业导师数量与在孵企业总数比例</w:t>
            </w:r>
          </w:p>
        </w:tc>
        <w:tc>
          <w:tcPr>
            <w:tcW w:w="510" w:type="pct"/>
            <w:tcBorders>
              <w:left w:val="single" w:color="auto" w:sz="4" w:space="0"/>
            </w:tcBorders>
            <w:noWrap w:val="0"/>
            <w:vAlign w:val="center"/>
          </w:tcPr>
          <w:p w14:paraId="7CDAA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left w:val="single" w:color="auto" w:sz="4" w:space="0"/>
            </w:tcBorders>
            <w:noWrap w:val="0"/>
            <w:vAlign w:val="center"/>
          </w:tcPr>
          <w:p w14:paraId="550EB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left w:val="single" w:color="auto" w:sz="4" w:space="0"/>
            </w:tcBorders>
            <w:noWrap w:val="0"/>
            <w:vAlign w:val="center"/>
          </w:tcPr>
          <w:p w14:paraId="591B6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07CAB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219F4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right w:val="single" w:color="auto" w:sz="4" w:space="0"/>
            </w:tcBorders>
            <w:noWrap w:val="0"/>
            <w:vAlign w:val="center"/>
          </w:tcPr>
          <w:p w14:paraId="59BF6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  <w:t>基地整合专业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中介服务机构数量</w:t>
            </w:r>
          </w:p>
        </w:tc>
        <w:tc>
          <w:tcPr>
            <w:tcW w:w="510" w:type="pct"/>
            <w:tcBorders>
              <w:left w:val="single" w:color="auto" w:sz="4" w:space="0"/>
            </w:tcBorders>
            <w:noWrap w:val="0"/>
            <w:vAlign w:val="center"/>
          </w:tcPr>
          <w:p w14:paraId="6E31B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left w:val="single" w:color="auto" w:sz="4" w:space="0"/>
            </w:tcBorders>
            <w:noWrap w:val="0"/>
            <w:vAlign w:val="center"/>
          </w:tcPr>
          <w:p w14:paraId="2BEB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left w:val="single" w:color="auto" w:sz="4" w:space="0"/>
            </w:tcBorders>
            <w:noWrap w:val="0"/>
            <w:vAlign w:val="center"/>
          </w:tcPr>
          <w:p w14:paraId="133EC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5E91D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2DFCA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right w:val="single" w:color="auto" w:sz="4" w:space="0"/>
            </w:tcBorders>
            <w:noWrap w:val="0"/>
            <w:vAlign w:val="center"/>
          </w:tcPr>
          <w:p w14:paraId="5DC3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  <w:t>自身投资在孵企业的数量</w:t>
            </w:r>
          </w:p>
        </w:tc>
        <w:tc>
          <w:tcPr>
            <w:tcW w:w="510" w:type="pct"/>
            <w:tcBorders>
              <w:left w:val="single" w:color="auto" w:sz="4" w:space="0"/>
            </w:tcBorders>
            <w:noWrap w:val="0"/>
            <w:vAlign w:val="center"/>
          </w:tcPr>
          <w:p w14:paraId="66D5E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left w:val="single" w:color="auto" w:sz="4" w:space="0"/>
            </w:tcBorders>
            <w:noWrap w:val="0"/>
            <w:vAlign w:val="center"/>
          </w:tcPr>
          <w:p w14:paraId="02755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left w:val="single" w:color="auto" w:sz="4" w:space="0"/>
            </w:tcBorders>
            <w:noWrap w:val="0"/>
            <w:vAlign w:val="center"/>
          </w:tcPr>
          <w:p w14:paraId="33F73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17EB5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6FA09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right w:val="single" w:color="auto" w:sz="4" w:space="0"/>
            </w:tcBorders>
            <w:noWrap w:val="0"/>
            <w:vAlign w:val="center"/>
          </w:tcPr>
          <w:p w14:paraId="1D1F0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  <w:t>获得投融资的在孵企业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510" w:type="pct"/>
            <w:tcBorders>
              <w:left w:val="single" w:color="auto" w:sz="4" w:space="0"/>
            </w:tcBorders>
            <w:noWrap w:val="0"/>
            <w:vAlign w:val="center"/>
          </w:tcPr>
          <w:p w14:paraId="571E8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left w:val="single" w:color="auto" w:sz="4" w:space="0"/>
            </w:tcBorders>
            <w:noWrap w:val="0"/>
            <w:vAlign w:val="center"/>
          </w:tcPr>
          <w:p w14:paraId="3860E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left w:val="single" w:color="auto" w:sz="4" w:space="0"/>
            </w:tcBorders>
            <w:noWrap w:val="0"/>
            <w:vAlign w:val="center"/>
          </w:tcPr>
          <w:p w14:paraId="59648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4D7C6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0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孵化绩效</w:t>
            </w:r>
          </w:p>
          <w:p w14:paraId="69F8D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分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989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  <w:t>新增在孵企业数量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1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8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0B3F0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4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27F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孵化企业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本年度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在广州股权交易中心、 新三板挂牌，或在境内外证券交易所上市数量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3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B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3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5F64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5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90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中获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  <w:t>评省、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  <w:t>、区各类人才的人数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A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0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9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5A8A1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A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E3D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是否获得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  <w:t>省级孵化器和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国家级孵化器培育单位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F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6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1450F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B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</w:rPr>
              <w:t>社会贡献</w:t>
            </w:r>
          </w:p>
          <w:p w14:paraId="3A9A6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6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6"/>
                <w:szCs w:val="24"/>
                <w:u w:val="none"/>
              </w:rPr>
              <w:t>分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38E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="210"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在孵企业就业人员总数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3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E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1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1AA4F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4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55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="210"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考核期内孵化器开展的特色工作及突出服务案例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C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8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360EB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A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5E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="210"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  <w:t>在区域范围内的辐射效应及对当地创新创业文化氛围的营造能力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7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0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C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16B5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A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  <w:t>党团建设</w:t>
            </w:r>
          </w:p>
          <w:p w14:paraId="0D17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4"/>
                <w:u w:val="none"/>
                <w:lang w:val="en-US" w:eastAsia="zh-CN"/>
              </w:rPr>
              <w:t>15分</w:t>
            </w:r>
          </w:p>
          <w:p w14:paraId="776F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  <w:lang w:eastAsia="zh-CN"/>
              </w:rPr>
            </w:pP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DE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="210"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基地是否成立党团组织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；是否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组织和开展各类党团活动，发动基地党团员积极参加党团活动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3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0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47CB0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5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</w:rPr>
            </w:pP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6E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是否配合开展党、团宣传活动，做好党和国家政策宣传和解读工作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F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A0CF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7" w:hRule="atLeast"/>
          <w:jc w:val="center"/>
        </w:trPr>
        <w:tc>
          <w:tcPr>
            <w:tcW w:w="57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4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left="29" w:leftChars="14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6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6"/>
                <w:szCs w:val="24"/>
                <w:u w:val="none"/>
                <w:lang w:eastAsia="zh-CN"/>
              </w:rPr>
              <w:t>综合评定等级</w:t>
            </w:r>
          </w:p>
        </w:tc>
        <w:tc>
          <w:tcPr>
            <w:tcW w:w="4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6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BDC7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017C0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3EF4A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（备注：评分总计60~79为合格，评分总计80~89为良好，评分总计90~100为优秀）</w:t>
            </w:r>
          </w:p>
          <w:p w14:paraId="5DB69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5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签名：                     时间：     年     月     日</w:t>
            </w:r>
          </w:p>
        </w:tc>
      </w:tr>
    </w:tbl>
    <w:p w14:paraId="5D069E5B">
      <w:pPr>
        <w:pStyle w:val="5"/>
        <w:spacing w:line="360" w:lineRule="auto"/>
        <w:ind w:right="64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</w:p>
    <w:p w14:paraId="7922BE21">
      <w:pPr>
        <w:pStyle w:val="5"/>
        <w:spacing w:line="360" w:lineRule="auto"/>
        <w:ind w:right="64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</w:p>
    <w:p w14:paraId="0BE96A44">
      <w:pPr>
        <w:pStyle w:val="5"/>
        <w:spacing w:line="360" w:lineRule="auto"/>
        <w:ind w:right="64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</w:p>
    <w:p w14:paraId="6D132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3E2D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940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0098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0098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jBlOTlhZmJjNGNmOGM4M2RhY2U1NDNlYTQ0MWIifQ=="/>
  </w:docVars>
  <w:rsids>
    <w:rsidRoot w:val="24333691"/>
    <w:rsid w:val="243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6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2024-10-30T02:36:00Z</dcterms:created>
  <dc:creator>企业用户_1263832836</dc:creator>
  <cp:lastModifiedBy>企业用户_1263832836</cp:lastModifiedBy>
  <dcterms:modified xsi:type="dcterms:W3CDTF">2024-10-30T02:38:13Z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A987A1AD150A4E6DA9F1A8BC592708BA_11</vt:lpwstr>
  </property>
</Properties>
</file>